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EC1A" w14:textId="5016E266" w:rsidR="00BB5D41" w:rsidRDefault="00BB5D41" w:rsidP="004F5790">
      <w:pPr>
        <w:pStyle w:val="Title"/>
        <w:rPr>
          <w:rFonts w:ascii="Calibri" w:eastAsia="Calibri" w:hAnsi="Calibri" w:cs="Calibri"/>
          <w:color w:val="000000"/>
          <w:sz w:val="24"/>
          <w:szCs w:val="24"/>
        </w:rPr>
      </w:pPr>
      <w:r>
        <w:rPr>
          <w:rFonts w:ascii="Calibri" w:eastAsia="Calibri" w:hAnsi="Calibri" w:cs="Calibri"/>
          <w:color w:val="000000"/>
          <w:sz w:val="24"/>
          <w:szCs w:val="24"/>
        </w:rPr>
        <w:t xml:space="preserve">Embargoed until: 1300 GMT on 1 OCTOBER 2021 </w:t>
      </w:r>
    </w:p>
    <w:p w14:paraId="1DEF6BE6" w14:textId="4B9C30A4" w:rsidR="00B66C64" w:rsidRPr="004F5790" w:rsidRDefault="009C5579" w:rsidP="004F5790">
      <w:pPr>
        <w:pStyle w:val="Title"/>
        <w:rPr>
          <w:rFonts w:ascii="Calibri" w:eastAsia="Calibri" w:hAnsi="Calibri" w:cs="Calibri"/>
          <w:color w:val="000000"/>
          <w:sz w:val="32"/>
          <w:szCs w:val="32"/>
        </w:rPr>
      </w:pPr>
      <w:r w:rsidRPr="004F5790">
        <w:rPr>
          <w:rFonts w:ascii="Calibri" w:eastAsia="Calibri" w:hAnsi="Calibri" w:cs="Calibri"/>
          <w:color w:val="000000"/>
          <w:sz w:val="24"/>
          <w:szCs w:val="24"/>
        </w:rPr>
        <w:t>Press release: 1 October 2021</w:t>
      </w:r>
      <w:r w:rsidR="004F5790">
        <w:rPr>
          <w:rFonts w:ascii="Calibri" w:eastAsia="Calibri" w:hAnsi="Calibri" w:cs="Calibri"/>
          <w:color w:val="000000"/>
          <w:sz w:val="24"/>
          <w:szCs w:val="24"/>
        </w:rPr>
        <w:t xml:space="preserve">                                                             </w:t>
      </w:r>
      <w:r w:rsidR="004F5790">
        <w:drawing>
          <wp:inline distT="0" distB="0" distL="0" distR="0" wp14:anchorId="2EA0698C" wp14:editId="2B08268B">
            <wp:extent cx="1713842" cy="448302"/>
            <wp:effectExtent l="0" t="0" r="127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842" cy="448302"/>
                    </a:xfrm>
                    <a:prstGeom prst="rect">
                      <a:avLst/>
                    </a:prstGeom>
                    <a:noFill/>
                    <a:ln>
                      <a:noFill/>
                    </a:ln>
                  </pic:spPr>
                </pic:pic>
              </a:graphicData>
            </a:graphic>
          </wp:inline>
        </w:drawing>
      </w:r>
    </w:p>
    <w:tbl>
      <w:tblPr>
        <w:tblStyle w:val="a"/>
        <w:tblW w:w="9026"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986"/>
        <w:gridCol w:w="3054"/>
        <w:gridCol w:w="2986"/>
      </w:tblGrid>
      <w:tr w:rsidR="00B66C64" w14:paraId="34CDA9F4" w14:textId="77777777">
        <w:tc>
          <w:tcPr>
            <w:tcW w:w="2986" w:type="dxa"/>
          </w:tcPr>
          <w:p w14:paraId="050B2250" w14:textId="77777777" w:rsidR="00B66C64" w:rsidRPr="004F5790" w:rsidRDefault="00462C5A">
            <w:pPr>
              <w:rPr>
                <w:rFonts w:ascii="Calibri" w:eastAsia="Calibri" w:hAnsi="Calibri" w:cs="Calibri"/>
                <w:b/>
                <w:sz w:val="18"/>
                <w:szCs w:val="18"/>
              </w:rPr>
            </w:pPr>
            <w:r w:rsidRPr="004F5790">
              <w:rPr>
                <w:rFonts w:ascii="Calibri" w:eastAsia="Calibri" w:hAnsi="Calibri" w:cs="Calibri"/>
                <w:b/>
                <w:sz w:val="18"/>
                <w:szCs w:val="18"/>
              </w:rPr>
              <w:t>OSPAR Contact:</w:t>
            </w:r>
          </w:p>
          <w:p w14:paraId="42B93649" w14:textId="77777777" w:rsidR="001F1777" w:rsidRPr="004F5790" w:rsidRDefault="00462C5A">
            <w:pPr>
              <w:rPr>
                <w:rFonts w:ascii="Calibri" w:eastAsia="Calibri" w:hAnsi="Calibri" w:cs="Calibri"/>
                <w:b/>
                <w:sz w:val="18"/>
                <w:szCs w:val="18"/>
              </w:rPr>
            </w:pPr>
            <w:r w:rsidRPr="004F5790">
              <w:rPr>
                <w:rFonts w:ascii="Calibri" w:eastAsia="Calibri" w:hAnsi="Calibri" w:cs="Calibri"/>
                <w:b/>
                <w:sz w:val="18"/>
                <w:szCs w:val="18"/>
              </w:rPr>
              <w:t>Lucy Ritchie</w:t>
            </w:r>
          </w:p>
          <w:p w14:paraId="26FD59BB" w14:textId="34B5EFB1" w:rsidR="00B66C64" w:rsidRPr="004F5790" w:rsidRDefault="001F1777">
            <w:pPr>
              <w:rPr>
                <w:rFonts w:ascii="Calibri" w:eastAsia="Calibri" w:hAnsi="Calibri" w:cs="Calibri"/>
                <w:b/>
                <w:sz w:val="18"/>
                <w:szCs w:val="18"/>
              </w:rPr>
            </w:pPr>
            <w:r w:rsidRPr="004F5790">
              <w:rPr>
                <w:rFonts w:ascii="Calibri" w:eastAsia="Calibri" w:hAnsi="Calibri" w:cs="Calibri"/>
                <w:b/>
                <w:sz w:val="18"/>
                <w:szCs w:val="18"/>
              </w:rPr>
              <w:t>Communications Lead</w:t>
            </w:r>
          </w:p>
        </w:tc>
        <w:tc>
          <w:tcPr>
            <w:tcW w:w="3054" w:type="dxa"/>
          </w:tcPr>
          <w:p w14:paraId="1D268412" w14:textId="5AD7CF78" w:rsidR="001F1777" w:rsidRPr="004F5790" w:rsidRDefault="00AF64B3">
            <w:pPr>
              <w:rPr>
                <w:rFonts w:ascii="Calibri" w:eastAsia="Calibri" w:hAnsi="Calibri" w:cs="Calibri"/>
                <w:b/>
                <w:sz w:val="18"/>
                <w:szCs w:val="18"/>
              </w:rPr>
            </w:pPr>
            <w:hyperlink r:id="rId9" w:history="1">
              <w:r w:rsidR="001F1777" w:rsidRPr="004F5790">
                <w:rPr>
                  <w:rFonts w:ascii="Calibri" w:eastAsia="Calibri" w:hAnsi="Calibri" w:cs="Calibri"/>
                  <w:b/>
                  <w:sz w:val="18"/>
                  <w:szCs w:val="18"/>
                </w:rPr>
                <w:t>lucy.ritchie@ospar.org</w:t>
              </w:r>
            </w:hyperlink>
          </w:p>
          <w:p w14:paraId="60682F73" w14:textId="1A47C867" w:rsidR="00B66C64" w:rsidRPr="004F5790" w:rsidRDefault="001F1777">
            <w:pPr>
              <w:rPr>
                <w:rFonts w:ascii="Calibri" w:eastAsia="Calibri" w:hAnsi="Calibri" w:cs="Calibri"/>
                <w:b/>
                <w:sz w:val="18"/>
                <w:szCs w:val="18"/>
              </w:rPr>
            </w:pPr>
            <w:r w:rsidRPr="004F5790">
              <w:rPr>
                <w:rFonts w:ascii="Calibri" w:eastAsia="Calibri" w:hAnsi="Calibri" w:cs="Calibri"/>
                <w:b/>
                <w:sz w:val="18"/>
                <w:szCs w:val="18"/>
              </w:rPr>
              <w:t>07769613549</w:t>
            </w:r>
            <w:r w:rsidR="00462C5A" w:rsidRPr="004F5790">
              <w:rPr>
                <w:rFonts w:ascii="Calibri" w:eastAsia="Calibri" w:hAnsi="Calibri" w:cs="Calibri"/>
                <w:b/>
                <w:sz w:val="18"/>
                <w:szCs w:val="18"/>
              </w:rPr>
              <w:t xml:space="preserve"> </w:t>
            </w:r>
          </w:p>
          <w:p w14:paraId="17F14AC9" w14:textId="3B811BD8" w:rsidR="00B66C64" w:rsidRPr="004F5790" w:rsidRDefault="00AF64B3">
            <w:pPr>
              <w:rPr>
                <w:rFonts w:asciiTheme="minorHAnsi" w:eastAsia="Calibri" w:hAnsiTheme="minorHAnsi" w:cstheme="minorHAnsi"/>
                <w:b/>
                <w:sz w:val="18"/>
                <w:szCs w:val="18"/>
              </w:rPr>
            </w:pPr>
            <w:hyperlink r:id="rId10" w:history="1">
              <w:r w:rsidR="007032E7" w:rsidRPr="004F5790">
                <w:rPr>
                  <w:rStyle w:val="Hyperlink"/>
                  <w:rFonts w:asciiTheme="minorHAnsi" w:eastAsia="Calibri" w:hAnsiTheme="minorHAnsi" w:cstheme="minorHAnsi"/>
                  <w:b/>
                  <w:sz w:val="18"/>
                  <w:szCs w:val="18"/>
                </w:rPr>
                <w:t>www.ospar.org</w:t>
              </w:r>
            </w:hyperlink>
          </w:p>
        </w:tc>
        <w:tc>
          <w:tcPr>
            <w:tcW w:w="2986" w:type="dxa"/>
          </w:tcPr>
          <w:p w14:paraId="1ECECC1A" w14:textId="77777777"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The Aspect</w:t>
            </w:r>
          </w:p>
          <w:p w14:paraId="7E78B511" w14:textId="77777777"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12 Finsbury Square</w:t>
            </w:r>
          </w:p>
          <w:p w14:paraId="77C75325" w14:textId="77777777" w:rsidR="00B66C64" w:rsidRPr="004F5790" w:rsidRDefault="00462C5A">
            <w:pPr>
              <w:rPr>
                <w:rFonts w:ascii="Calibri" w:eastAsia="Calibri" w:hAnsi="Calibri" w:cs="Calibri"/>
                <w:sz w:val="18"/>
                <w:szCs w:val="18"/>
              </w:rPr>
            </w:pPr>
            <w:r w:rsidRPr="004F5790">
              <w:rPr>
                <w:rFonts w:ascii="Calibri" w:eastAsia="Calibri" w:hAnsi="Calibri" w:cs="Calibri"/>
                <w:sz w:val="18"/>
                <w:szCs w:val="18"/>
              </w:rPr>
              <w:t>London, EC2A 1AS</w:t>
            </w:r>
          </w:p>
        </w:tc>
      </w:tr>
    </w:tbl>
    <w:p w14:paraId="326F85FB" w14:textId="77777777" w:rsidR="00B66C64" w:rsidRDefault="00B66C64"/>
    <w:p w14:paraId="7B73B330" w14:textId="6C1107C3" w:rsidR="00B66C64" w:rsidRPr="006F35C8" w:rsidRDefault="00462C5A" w:rsidP="006F35C8">
      <w:pPr>
        <w:rPr>
          <w:b/>
          <w:bCs/>
        </w:rPr>
      </w:pPr>
      <w:r w:rsidRPr="006F35C8">
        <w:rPr>
          <w:b/>
          <w:bCs/>
        </w:rPr>
        <w:t xml:space="preserve">Sea </w:t>
      </w:r>
      <w:r w:rsidR="00170214" w:rsidRPr="006F35C8">
        <w:rPr>
          <w:b/>
          <w:bCs/>
        </w:rPr>
        <w:t>c</w:t>
      </w:r>
      <w:r w:rsidRPr="006F35C8">
        <w:rPr>
          <w:b/>
          <w:bCs/>
        </w:rPr>
        <w:t>hange</w:t>
      </w:r>
      <w:r w:rsidR="00170214" w:rsidRPr="006F35C8">
        <w:rPr>
          <w:b/>
          <w:bCs/>
        </w:rPr>
        <w:t xml:space="preserve">: </w:t>
      </w:r>
      <w:r w:rsidR="007E076C" w:rsidRPr="006F35C8">
        <w:rPr>
          <w:b/>
          <w:bCs/>
        </w:rPr>
        <w:t xml:space="preserve">Ministers seize once in a decade opportunity </w:t>
      </w:r>
      <w:r w:rsidRPr="006F35C8">
        <w:rPr>
          <w:b/>
          <w:bCs/>
        </w:rPr>
        <w:t>for</w:t>
      </w:r>
      <w:r w:rsidR="00170214" w:rsidRPr="006F35C8">
        <w:rPr>
          <w:b/>
          <w:bCs/>
        </w:rPr>
        <w:t xml:space="preserve"> a</w:t>
      </w:r>
      <w:r w:rsidRPr="006F35C8">
        <w:rPr>
          <w:b/>
          <w:bCs/>
        </w:rPr>
        <w:t xml:space="preserve"> healthier </w:t>
      </w:r>
      <w:r w:rsidR="007E076C" w:rsidRPr="006F35C8">
        <w:rPr>
          <w:b/>
          <w:bCs/>
        </w:rPr>
        <w:t>North-East Atlantic</w:t>
      </w:r>
      <w:r w:rsidR="006F35C8" w:rsidRPr="006F35C8">
        <w:rPr>
          <w:b/>
          <w:bCs/>
        </w:rPr>
        <w:t xml:space="preserve"> </w:t>
      </w:r>
    </w:p>
    <w:p w14:paraId="15298FC1" w14:textId="4CFDA888" w:rsidR="00402EFE" w:rsidRDefault="00F009FD" w:rsidP="004404D6">
      <w:pPr>
        <w:rPr>
          <w:lang w:eastAsia="en-US"/>
        </w:rPr>
      </w:pPr>
      <w:r>
        <w:rPr>
          <w:lang w:eastAsia="en-US"/>
        </w:rPr>
        <w:t>Ministers from around the Nort</w:t>
      </w:r>
      <w:r w:rsidR="00D60977">
        <w:rPr>
          <w:lang w:eastAsia="en-US"/>
        </w:rPr>
        <w:t>h</w:t>
      </w:r>
      <w:r>
        <w:rPr>
          <w:lang w:eastAsia="en-US"/>
        </w:rPr>
        <w:t>-East Atlantic met today in Cascais, Portugal</w:t>
      </w:r>
      <w:r w:rsidR="00651C25">
        <w:rPr>
          <w:lang w:eastAsia="en-US"/>
        </w:rPr>
        <w:t>,</w:t>
      </w:r>
      <w:r>
        <w:rPr>
          <w:lang w:eastAsia="en-US"/>
        </w:rPr>
        <w:t xml:space="preserve"> to renew and extend their commitments to protect and conserv</w:t>
      </w:r>
      <w:r w:rsidR="007032E7">
        <w:rPr>
          <w:lang w:eastAsia="en-US"/>
        </w:rPr>
        <w:t>e</w:t>
      </w:r>
      <w:r>
        <w:rPr>
          <w:lang w:eastAsia="en-US"/>
        </w:rPr>
        <w:t xml:space="preserve"> the North-East Atlantic and its resources.</w:t>
      </w:r>
    </w:p>
    <w:p w14:paraId="2FB3A603" w14:textId="6750C5C7" w:rsidR="00F009FD" w:rsidRDefault="00402EFE" w:rsidP="004404D6">
      <w:pPr>
        <w:rPr>
          <w:lang w:eastAsia="en-US"/>
        </w:rPr>
      </w:pPr>
      <w:r>
        <w:rPr>
          <w:lang w:eastAsia="en-US"/>
        </w:rPr>
        <w:t xml:space="preserve">The 15 countries represented at the meeting are all signatories to the </w:t>
      </w:r>
      <w:hyperlink r:id="rId11" w:history="1">
        <w:r w:rsidRPr="00696AFF">
          <w:rPr>
            <w:rStyle w:val="Hyperlink"/>
            <w:lang w:eastAsia="en-US"/>
          </w:rPr>
          <w:t>OSPAR Convention</w:t>
        </w:r>
      </w:hyperlink>
      <w:r>
        <w:rPr>
          <w:lang w:eastAsia="en-US"/>
        </w:rPr>
        <w:t xml:space="preserve">, along with the European Union whose </w:t>
      </w:r>
      <w:proofErr w:type="gramStart"/>
      <w:r>
        <w:rPr>
          <w:lang w:eastAsia="en-US"/>
        </w:rPr>
        <w:t>Commissioner</w:t>
      </w:r>
      <w:proofErr w:type="gramEnd"/>
      <w:r>
        <w:rPr>
          <w:lang w:eastAsia="en-US"/>
        </w:rPr>
        <w:t xml:space="preserve"> was also in attendance. </w:t>
      </w:r>
      <w:r w:rsidRPr="00402EFE">
        <w:rPr>
          <w:lang w:eastAsia="en-US"/>
        </w:rPr>
        <w:t xml:space="preserve"> </w:t>
      </w:r>
      <w:r w:rsidR="0097613B">
        <w:rPr>
          <w:lang w:eastAsia="en-US"/>
        </w:rPr>
        <w:t>The meeting</w:t>
      </w:r>
      <w:r w:rsidR="006F35C8">
        <w:rPr>
          <w:lang w:eastAsia="en-US"/>
        </w:rPr>
        <w:t xml:space="preserve"> designated a new high seas Marine Protected Area</w:t>
      </w:r>
      <w:r w:rsidR="00835950">
        <w:rPr>
          <w:lang w:eastAsia="en-US"/>
        </w:rPr>
        <w:t xml:space="preserve"> (MPA)</w:t>
      </w:r>
      <w:r w:rsidR="006F35C8">
        <w:rPr>
          <w:lang w:eastAsia="en-US"/>
        </w:rPr>
        <w:t xml:space="preserve"> for seabirds which is larger than the land mass of the United Kingdom and Germany combined. </w:t>
      </w:r>
      <w:r w:rsidR="0097613B">
        <w:rPr>
          <w:lang w:eastAsia="en-US"/>
        </w:rPr>
        <w:t xml:space="preserve"> </w:t>
      </w:r>
      <w:r w:rsidR="006F35C8">
        <w:rPr>
          <w:lang w:eastAsia="en-US"/>
        </w:rPr>
        <w:t>A</w:t>
      </w:r>
      <w:r w:rsidR="00137E96">
        <w:rPr>
          <w:lang w:eastAsia="en-US"/>
        </w:rPr>
        <w:t xml:space="preserve"> </w:t>
      </w:r>
      <w:r w:rsidR="007B3A9B">
        <w:rPr>
          <w:lang w:eastAsia="en-US"/>
        </w:rPr>
        <w:t xml:space="preserve">new </w:t>
      </w:r>
      <w:r w:rsidR="00137E96">
        <w:rPr>
          <w:lang w:eastAsia="en-US"/>
        </w:rPr>
        <w:t xml:space="preserve">North-East Atlantic Environment Strategy </w:t>
      </w:r>
      <w:r w:rsidR="006F35C8">
        <w:rPr>
          <w:lang w:eastAsia="en-US"/>
        </w:rPr>
        <w:t>was also agreed setting</w:t>
      </w:r>
      <w:r w:rsidR="00137E96">
        <w:rPr>
          <w:lang w:eastAsia="en-US"/>
        </w:rPr>
        <w:t xml:space="preserve"> out ambitious commitments </w:t>
      </w:r>
      <w:r w:rsidR="008224F3">
        <w:rPr>
          <w:lang w:eastAsia="en-US"/>
        </w:rPr>
        <w:t xml:space="preserve">for the coming decade </w:t>
      </w:r>
      <w:r w:rsidR="00E66ACB">
        <w:rPr>
          <w:lang w:eastAsia="en-US"/>
        </w:rPr>
        <w:t xml:space="preserve">in an effort </w:t>
      </w:r>
      <w:r w:rsidR="00137E96">
        <w:rPr>
          <w:lang w:eastAsia="en-US"/>
        </w:rPr>
        <w:t xml:space="preserve">to </w:t>
      </w:r>
      <w:r w:rsidR="004404D6">
        <w:rPr>
          <w:lang w:eastAsia="en-US"/>
        </w:rPr>
        <w:t>turn the tide on three of the biggest issues facing the ocean: the impacts of climate change and ocean acidification, biodiversity loss</w:t>
      </w:r>
      <w:r w:rsidR="00651C25">
        <w:rPr>
          <w:lang w:eastAsia="en-US"/>
        </w:rPr>
        <w:t>,</w:t>
      </w:r>
      <w:r w:rsidR="004404D6">
        <w:rPr>
          <w:lang w:eastAsia="en-US"/>
        </w:rPr>
        <w:t xml:space="preserve"> and pollution, including marine plastic pollution. </w:t>
      </w:r>
    </w:p>
    <w:p w14:paraId="6B372AD6" w14:textId="6FA147FC" w:rsidR="004404D6" w:rsidRDefault="000C26B9" w:rsidP="004404D6">
      <w:pPr>
        <w:rPr>
          <w:lang w:eastAsia="en-US"/>
        </w:rPr>
      </w:pPr>
      <w:r>
        <w:rPr>
          <w:lang w:eastAsia="en-US"/>
        </w:rPr>
        <w:t>Opening the meeting, h</w:t>
      </w:r>
      <w:r w:rsidR="001F571C">
        <w:rPr>
          <w:lang w:eastAsia="en-US"/>
        </w:rPr>
        <w:t>ost</w:t>
      </w:r>
      <w:r w:rsidR="004404D6">
        <w:rPr>
          <w:lang w:eastAsia="en-US"/>
        </w:rPr>
        <w:t xml:space="preserve"> Minister of the Sea, Ricardo Serrāo Santos</w:t>
      </w:r>
      <w:r>
        <w:rPr>
          <w:lang w:eastAsia="en-US"/>
        </w:rPr>
        <w:t xml:space="preserve"> said “</w:t>
      </w:r>
      <w:r w:rsidRPr="000C26B9">
        <w:rPr>
          <w:lang w:eastAsia="en-US"/>
        </w:rPr>
        <w:t>OSPAR should intensify its action</w:t>
      </w:r>
      <w:r w:rsidR="00A610C1">
        <w:rPr>
          <w:lang w:eastAsia="en-US"/>
        </w:rPr>
        <w:t>s</w:t>
      </w:r>
      <w:r w:rsidRPr="000C26B9">
        <w:rPr>
          <w:lang w:eastAsia="en-US"/>
        </w:rPr>
        <w:t xml:space="preserve"> to find solutions for the major problems the planet is facing, namely climate change, loss of biodiversity, </w:t>
      </w:r>
      <w:r w:rsidR="00730645">
        <w:rPr>
          <w:lang w:eastAsia="en-US"/>
        </w:rPr>
        <w:t xml:space="preserve">and </w:t>
      </w:r>
      <w:r w:rsidRPr="000C26B9">
        <w:rPr>
          <w:lang w:eastAsia="en-US"/>
        </w:rPr>
        <w:t>sustainability of human systems</w:t>
      </w:r>
      <w:r>
        <w:rPr>
          <w:lang w:eastAsia="en-US"/>
        </w:rPr>
        <w:t>”. K</w:t>
      </w:r>
      <w:r w:rsidR="001F571C">
        <w:rPr>
          <w:lang w:eastAsia="en-US"/>
        </w:rPr>
        <w:t xml:space="preserve">ey outcomes </w:t>
      </w:r>
      <w:r w:rsidR="00926845">
        <w:rPr>
          <w:lang w:eastAsia="en-US"/>
        </w:rPr>
        <w:t xml:space="preserve">of the meeting </w:t>
      </w:r>
      <w:r w:rsidR="001F571C">
        <w:rPr>
          <w:lang w:eastAsia="en-US"/>
        </w:rPr>
        <w:t>included</w:t>
      </w:r>
      <w:r w:rsidR="00112153">
        <w:rPr>
          <w:lang w:eastAsia="en-US"/>
        </w:rPr>
        <w:t>:</w:t>
      </w:r>
    </w:p>
    <w:p w14:paraId="3CDCD614" w14:textId="36F5F4F3" w:rsidR="00A42F3D" w:rsidRDefault="004404D6" w:rsidP="00A42F3D">
      <w:pPr>
        <w:pStyle w:val="ListParagraph"/>
        <w:numPr>
          <w:ilvl w:val="0"/>
          <w:numId w:val="2"/>
        </w:numPr>
        <w:rPr>
          <w:rFonts w:eastAsia="Times New Roman"/>
          <w:lang w:eastAsia="en-US"/>
        </w:rPr>
      </w:pPr>
      <w:r w:rsidRPr="00A42F3D">
        <w:rPr>
          <w:rFonts w:eastAsia="Times New Roman"/>
          <w:lang w:eastAsia="en-US"/>
        </w:rPr>
        <w:t xml:space="preserve">The designation of the </w:t>
      </w:r>
      <w:r w:rsidR="00A42F3D">
        <w:rPr>
          <w:rFonts w:eastAsia="Times New Roman"/>
          <w:lang w:eastAsia="en-US"/>
        </w:rPr>
        <w:t>high seas</w:t>
      </w:r>
      <w:r w:rsidR="00112153" w:rsidRPr="00112153">
        <w:t xml:space="preserve"> </w:t>
      </w:r>
      <w:r w:rsidRPr="001113F8">
        <w:rPr>
          <w:rFonts w:eastAsia="Times New Roman"/>
          <w:lang w:eastAsia="en-US"/>
        </w:rPr>
        <w:t>North Atlantic Current and Evlanov Sea</w:t>
      </w:r>
      <w:r w:rsidR="00B2005C" w:rsidRPr="001113F8">
        <w:rPr>
          <w:rFonts w:eastAsia="Times New Roman"/>
          <w:lang w:eastAsia="en-US"/>
        </w:rPr>
        <w:t xml:space="preserve"> </w:t>
      </w:r>
      <w:r w:rsidR="001113F8" w:rsidRPr="001113F8">
        <w:rPr>
          <w:rFonts w:eastAsia="Times New Roman"/>
          <w:lang w:eastAsia="en-US"/>
        </w:rPr>
        <w:t>b</w:t>
      </w:r>
      <w:r w:rsidR="00B2005C" w:rsidRPr="001113F8">
        <w:rPr>
          <w:rFonts w:eastAsia="Times New Roman"/>
          <w:lang w:eastAsia="en-US"/>
        </w:rPr>
        <w:t>asin</w:t>
      </w:r>
      <w:r w:rsidRPr="001113F8">
        <w:rPr>
          <w:rFonts w:eastAsia="Times New Roman"/>
          <w:lang w:eastAsia="en-US"/>
        </w:rPr>
        <w:t xml:space="preserve"> </w:t>
      </w:r>
      <w:r w:rsidR="001113F8">
        <w:rPr>
          <w:rFonts w:eastAsia="Times New Roman"/>
          <w:lang w:eastAsia="en-US"/>
        </w:rPr>
        <w:t>MPA</w:t>
      </w:r>
      <w:r w:rsidRPr="001113F8">
        <w:rPr>
          <w:rFonts w:eastAsia="Times New Roman"/>
          <w:lang w:eastAsia="en-US"/>
        </w:rPr>
        <w:t>, w</w:t>
      </w:r>
      <w:r w:rsidRPr="00A42F3D">
        <w:rPr>
          <w:rFonts w:eastAsia="Times New Roman"/>
          <w:lang w:eastAsia="en-US"/>
        </w:rPr>
        <w:t>hich will cover nearly 600,000 km</w:t>
      </w:r>
      <w:r w:rsidRPr="00A42F3D">
        <w:rPr>
          <w:rFonts w:eastAsia="Times New Roman"/>
          <w:vertAlign w:val="superscript"/>
          <w:lang w:eastAsia="en-US"/>
        </w:rPr>
        <w:t>2</w:t>
      </w:r>
      <w:r w:rsidR="00112153">
        <w:rPr>
          <w:rFonts w:eastAsia="Times New Roman"/>
          <w:lang w:eastAsia="en-US"/>
        </w:rPr>
        <w:t xml:space="preserve"> and</w:t>
      </w:r>
      <w:r w:rsidRPr="00A42F3D">
        <w:rPr>
          <w:rFonts w:eastAsia="Times New Roman"/>
          <w:lang w:eastAsia="en-US"/>
        </w:rPr>
        <w:t xml:space="preserve"> </w:t>
      </w:r>
      <w:r w:rsidR="00112153" w:rsidRPr="00112153">
        <w:rPr>
          <w:rFonts w:eastAsia="Times New Roman"/>
          <w:lang w:eastAsia="en-US"/>
        </w:rPr>
        <w:t xml:space="preserve">protect </w:t>
      </w:r>
      <w:r w:rsidR="00112153">
        <w:rPr>
          <w:rFonts w:eastAsia="Times New Roman"/>
          <w:lang w:eastAsia="en-US"/>
        </w:rPr>
        <w:t>a</w:t>
      </w:r>
      <w:r w:rsidR="00112153" w:rsidRPr="00112153">
        <w:rPr>
          <w:rFonts w:eastAsia="Times New Roman"/>
          <w:lang w:eastAsia="en-US"/>
        </w:rPr>
        <w:t xml:space="preserve"> vitally important area for </w:t>
      </w:r>
      <w:r w:rsidR="007B3A9B" w:rsidRPr="00112153">
        <w:rPr>
          <w:rFonts w:eastAsia="Times New Roman"/>
          <w:lang w:eastAsia="en-US"/>
        </w:rPr>
        <w:t>seabirds</w:t>
      </w:r>
      <w:r w:rsidRPr="00A42F3D">
        <w:rPr>
          <w:rFonts w:eastAsia="Times New Roman"/>
          <w:lang w:eastAsia="en-US"/>
        </w:rPr>
        <w:t xml:space="preserve">. </w:t>
      </w:r>
      <w:r w:rsidR="006231F2">
        <w:rPr>
          <w:rFonts w:eastAsia="Times New Roman"/>
          <w:lang w:eastAsia="en-US"/>
        </w:rPr>
        <w:t>Based on tracking data, the</w:t>
      </w:r>
      <w:r w:rsidR="00112153" w:rsidRPr="00112153">
        <w:rPr>
          <w:rFonts w:eastAsia="Times New Roman"/>
          <w:lang w:eastAsia="en-US"/>
        </w:rPr>
        <w:t xml:space="preserve"> Site </w:t>
      </w:r>
      <w:r w:rsidR="006231F2">
        <w:rPr>
          <w:rFonts w:eastAsia="Times New Roman"/>
          <w:lang w:eastAsia="en-US"/>
        </w:rPr>
        <w:t xml:space="preserve">was found to be </w:t>
      </w:r>
      <w:r w:rsidR="00112153" w:rsidRPr="00112153">
        <w:rPr>
          <w:rFonts w:eastAsia="Times New Roman"/>
          <w:lang w:eastAsia="en-US"/>
        </w:rPr>
        <w:t>an important feeding and foraging area and is used both by seabirds breeding on the coasts of the North-East Atlantic, and by those migrating across the globe or nesting in other parts of the world.</w:t>
      </w:r>
    </w:p>
    <w:p w14:paraId="66C476EF" w14:textId="14C2ECB1" w:rsidR="00A42F3D" w:rsidRDefault="004404D6" w:rsidP="00A42F3D">
      <w:pPr>
        <w:pStyle w:val="ListParagraph"/>
        <w:numPr>
          <w:ilvl w:val="0"/>
          <w:numId w:val="2"/>
        </w:numPr>
        <w:rPr>
          <w:rFonts w:eastAsia="Times New Roman"/>
          <w:lang w:eastAsia="en-US"/>
        </w:rPr>
      </w:pPr>
      <w:r w:rsidRPr="00A42F3D">
        <w:rPr>
          <w:rFonts w:eastAsia="Times New Roman"/>
          <w:lang w:eastAsia="en-US"/>
        </w:rPr>
        <w:t xml:space="preserve">The </w:t>
      </w:r>
      <w:r w:rsidR="00A42F3D">
        <w:rPr>
          <w:rFonts w:eastAsia="Times New Roman"/>
          <w:lang w:eastAsia="en-US"/>
        </w:rPr>
        <w:t>launch</w:t>
      </w:r>
      <w:r w:rsidRPr="00A42F3D">
        <w:rPr>
          <w:rFonts w:eastAsia="Times New Roman"/>
          <w:lang w:eastAsia="en-US"/>
        </w:rPr>
        <w:t xml:space="preserve"> of </w:t>
      </w:r>
      <w:r w:rsidR="00A42F3D">
        <w:rPr>
          <w:rFonts w:eastAsia="Times New Roman"/>
          <w:lang w:eastAsia="en-US"/>
        </w:rPr>
        <w:t>OSPAR’s</w:t>
      </w:r>
      <w:r w:rsidRPr="00A42F3D">
        <w:rPr>
          <w:rFonts w:eastAsia="Times New Roman"/>
          <w:lang w:eastAsia="en-US"/>
        </w:rPr>
        <w:t xml:space="preserve"> North-East Atlantic Environment Strategy 2030 set</w:t>
      </w:r>
      <w:r w:rsidR="00D60977">
        <w:rPr>
          <w:rFonts w:eastAsia="Times New Roman"/>
          <w:lang w:eastAsia="en-US"/>
        </w:rPr>
        <w:t>ting</w:t>
      </w:r>
      <w:r w:rsidRPr="00A42F3D">
        <w:rPr>
          <w:rFonts w:eastAsia="Times New Roman"/>
          <w:lang w:eastAsia="en-US"/>
        </w:rPr>
        <w:t xml:space="preserve"> objectives until the end of the decade. </w:t>
      </w:r>
      <w:r w:rsidRPr="00A42F3D">
        <w:rPr>
          <w:rFonts w:eastAsia="Times New Roman"/>
        </w:rPr>
        <w:t>It is based around four themes: clean seas; biologically diverse seas; productive and sustainably used seas; and seas resilient to climate change and ocean acidification</w:t>
      </w:r>
      <w:r w:rsidRPr="001113F8">
        <w:rPr>
          <w:rFonts w:eastAsia="Times New Roman"/>
        </w:rPr>
        <w:t xml:space="preserve">. </w:t>
      </w:r>
      <w:r w:rsidRPr="001113F8">
        <w:rPr>
          <w:rFonts w:eastAsia="Times New Roman"/>
          <w:lang w:eastAsia="en-US"/>
        </w:rPr>
        <w:t>It include</w:t>
      </w:r>
      <w:r w:rsidR="00A42F3D" w:rsidRPr="001113F8">
        <w:rPr>
          <w:rFonts w:eastAsia="Times New Roman"/>
          <w:lang w:eastAsia="en-US"/>
        </w:rPr>
        <w:t>s</w:t>
      </w:r>
      <w:r w:rsidRPr="001113F8">
        <w:rPr>
          <w:rFonts w:eastAsia="Times New Roman"/>
          <w:lang w:eastAsia="en-US"/>
        </w:rPr>
        <w:t xml:space="preserve"> a target </w:t>
      </w:r>
      <w:r w:rsidR="001113F8" w:rsidRPr="001113F8">
        <w:rPr>
          <w:rFonts w:eastAsia="Times New Roman"/>
          <w:lang w:eastAsia="en-US"/>
        </w:rPr>
        <w:t xml:space="preserve">to reduce marine litter by </w:t>
      </w:r>
      <w:r w:rsidRPr="001113F8">
        <w:rPr>
          <w:rFonts w:eastAsia="Times New Roman"/>
          <w:lang w:eastAsia="en-US"/>
        </w:rPr>
        <w:t xml:space="preserve">50% by 2025 and </w:t>
      </w:r>
      <w:r w:rsidR="00213503">
        <w:rPr>
          <w:rFonts w:eastAsia="Times New Roman"/>
          <w:lang w:eastAsia="en-US"/>
        </w:rPr>
        <w:t xml:space="preserve">by </w:t>
      </w:r>
      <w:r w:rsidRPr="001113F8">
        <w:rPr>
          <w:rFonts w:eastAsia="Times New Roman"/>
          <w:lang w:eastAsia="en-US"/>
        </w:rPr>
        <w:t>75% by 2030</w:t>
      </w:r>
      <w:r w:rsidR="001113F8" w:rsidRPr="001113F8">
        <w:rPr>
          <w:rFonts w:eastAsia="Times New Roman"/>
          <w:lang w:eastAsia="en-US"/>
        </w:rPr>
        <w:t>, and a commitment</w:t>
      </w:r>
      <w:r w:rsidRPr="001113F8">
        <w:rPr>
          <w:rFonts w:eastAsia="Times New Roman"/>
          <w:lang w:eastAsia="en-US"/>
        </w:rPr>
        <w:t xml:space="preserve"> to designate 30% of the OSPAR </w:t>
      </w:r>
      <w:r w:rsidR="001F571C" w:rsidRPr="001113F8">
        <w:rPr>
          <w:rFonts w:eastAsia="Times New Roman"/>
          <w:lang w:eastAsia="en-US"/>
        </w:rPr>
        <w:t>M</w:t>
      </w:r>
      <w:r w:rsidRPr="001113F8">
        <w:rPr>
          <w:rFonts w:eastAsia="Times New Roman"/>
          <w:lang w:eastAsia="en-US"/>
        </w:rPr>
        <w:t xml:space="preserve">aritime </w:t>
      </w:r>
      <w:r w:rsidR="001F571C" w:rsidRPr="001113F8">
        <w:rPr>
          <w:rFonts w:eastAsia="Times New Roman"/>
          <w:lang w:eastAsia="en-US"/>
        </w:rPr>
        <w:t>A</w:t>
      </w:r>
      <w:r w:rsidRPr="001113F8">
        <w:rPr>
          <w:rFonts w:eastAsia="Times New Roman"/>
          <w:lang w:eastAsia="en-US"/>
        </w:rPr>
        <w:t xml:space="preserve">rea as </w:t>
      </w:r>
      <w:r w:rsidR="001113F8" w:rsidRPr="001113F8">
        <w:rPr>
          <w:rFonts w:eastAsia="Times New Roman"/>
          <w:lang w:eastAsia="en-US"/>
        </w:rPr>
        <w:t>MPA</w:t>
      </w:r>
      <w:r w:rsidRPr="001113F8">
        <w:rPr>
          <w:rFonts w:eastAsia="Times New Roman"/>
          <w:lang w:eastAsia="en-US"/>
        </w:rPr>
        <w:t xml:space="preserve"> by 2030.</w:t>
      </w:r>
      <w:r w:rsidRPr="00A42F3D">
        <w:rPr>
          <w:rFonts w:eastAsia="Times New Roman"/>
          <w:lang w:eastAsia="en-US"/>
        </w:rPr>
        <w:t xml:space="preserve"> </w:t>
      </w:r>
    </w:p>
    <w:p w14:paraId="40B518C1" w14:textId="4E0C7CD8" w:rsidR="00D60977" w:rsidRDefault="007032E7" w:rsidP="005161C5">
      <w:pPr>
        <w:pStyle w:val="ListParagraph"/>
        <w:numPr>
          <w:ilvl w:val="0"/>
          <w:numId w:val="2"/>
        </w:numPr>
        <w:rPr>
          <w:rFonts w:eastAsia="Times New Roman"/>
          <w:lang w:eastAsia="en-US"/>
        </w:rPr>
      </w:pPr>
      <w:r>
        <w:rPr>
          <w:rFonts w:eastAsia="Times New Roman"/>
          <w:lang w:eastAsia="en-US"/>
        </w:rPr>
        <w:t>Action</w:t>
      </w:r>
      <w:r w:rsidR="00935F14" w:rsidRPr="00935F14">
        <w:rPr>
          <w:rFonts w:eastAsia="Times New Roman"/>
          <w:lang w:eastAsia="en-US"/>
        </w:rPr>
        <w:t xml:space="preserve"> to reduce the loss of plastic pellets into the marine environment </w:t>
      </w:r>
      <w:r w:rsidR="005161C5">
        <w:rPr>
          <w:rFonts w:eastAsia="Times New Roman"/>
          <w:lang w:eastAsia="en-US"/>
        </w:rPr>
        <w:t>through</w:t>
      </w:r>
      <w:r w:rsidR="00935F14" w:rsidRPr="00935F14">
        <w:rPr>
          <w:rFonts w:eastAsia="Times New Roman"/>
          <w:lang w:eastAsia="en-US"/>
        </w:rPr>
        <w:t xml:space="preserve"> pellet loss prevention standards and certification schemes for the entire plastic supply chain.</w:t>
      </w:r>
      <w:r w:rsidR="005161C5">
        <w:rPr>
          <w:rFonts w:eastAsia="Times New Roman"/>
          <w:lang w:eastAsia="en-US"/>
        </w:rPr>
        <w:t xml:space="preserve"> </w:t>
      </w:r>
      <w:r w:rsidR="00935F14" w:rsidRPr="005161C5">
        <w:rPr>
          <w:rFonts w:eastAsia="Times New Roman"/>
          <w:lang w:eastAsia="en-US"/>
        </w:rPr>
        <w:t>Th</w:t>
      </w:r>
      <w:r>
        <w:rPr>
          <w:rFonts w:eastAsia="Times New Roman"/>
          <w:lang w:eastAsia="en-US"/>
        </w:rPr>
        <w:t>is action is</w:t>
      </w:r>
      <w:r w:rsidR="00935F14" w:rsidRPr="005161C5">
        <w:rPr>
          <w:rFonts w:eastAsia="Times New Roman"/>
          <w:lang w:eastAsia="en-US"/>
        </w:rPr>
        <w:t xml:space="preserve"> supported by a set of guidelines for Contracting Parties and industry.</w:t>
      </w:r>
    </w:p>
    <w:p w14:paraId="2ED49224" w14:textId="68D52333" w:rsidR="007032E7" w:rsidRPr="007032E7" w:rsidRDefault="007032E7" w:rsidP="006231F2">
      <w:pPr>
        <w:pStyle w:val="ListParagraph"/>
        <w:numPr>
          <w:ilvl w:val="0"/>
          <w:numId w:val="2"/>
        </w:numPr>
        <w:rPr>
          <w:rFonts w:eastAsia="Times New Roman"/>
          <w:lang w:eastAsia="en-US"/>
        </w:rPr>
      </w:pPr>
      <w:r>
        <w:rPr>
          <w:rFonts w:eastAsia="Times New Roman"/>
          <w:lang w:eastAsia="en-US"/>
        </w:rPr>
        <w:t>P</w:t>
      </w:r>
      <w:r w:rsidR="001514FF" w:rsidRPr="001514FF">
        <w:rPr>
          <w:rFonts w:eastAsia="Times New Roman"/>
          <w:lang w:eastAsia="en-US"/>
        </w:rPr>
        <w:t xml:space="preserve">rotection </w:t>
      </w:r>
      <w:r>
        <w:rPr>
          <w:rFonts w:eastAsia="Times New Roman"/>
          <w:lang w:eastAsia="en-US"/>
        </w:rPr>
        <w:t xml:space="preserve">for important carbon sequestering </w:t>
      </w:r>
      <w:r w:rsidR="001514FF" w:rsidRPr="001514FF">
        <w:rPr>
          <w:rFonts w:eastAsia="Times New Roman"/>
          <w:lang w:eastAsia="en-US"/>
        </w:rPr>
        <w:t>kelp forest habitat</w:t>
      </w:r>
      <w:r w:rsidR="001514FF">
        <w:rPr>
          <w:rFonts w:eastAsia="Times New Roman"/>
          <w:lang w:eastAsia="en-US"/>
        </w:rPr>
        <w:t xml:space="preserve"> </w:t>
      </w:r>
      <w:r w:rsidR="001514FF" w:rsidRPr="001514FF">
        <w:rPr>
          <w:rFonts w:eastAsia="Times New Roman"/>
          <w:lang w:eastAsia="en-US"/>
        </w:rPr>
        <w:t>to minimise adverse effects from human activities and climate chang</w:t>
      </w:r>
      <w:r w:rsidR="00296CFE">
        <w:rPr>
          <w:rFonts w:eastAsia="Times New Roman"/>
          <w:lang w:eastAsia="en-US"/>
        </w:rPr>
        <w:t>e</w:t>
      </w:r>
      <w:r w:rsidR="001514FF" w:rsidRPr="001514FF">
        <w:rPr>
          <w:rFonts w:eastAsia="Times New Roman"/>
          <w:lang w:eastAsia="en-US"/>
        </w:rPr>
        <w:t>.</w:t>
      </w:r>
    </w:p>
    <w:p w14:paraId="573BC5E4" w14:textId="267D4534" w:rsidR="00B66C64" w:rsidRPr="006231F2" w:rsidRDefault="00462C5A" w:rsidP="007032E7">
      <w:pPr>
        <w:pStyle w:val="ListParagraph"/>
        <w:rPr>
          <w:rFonts w:eastAsia="Times New Roman"/>
          <w:lang w:eastAsia="en-US"/>
        </w:rPr>
      </w:pPr>
      <w:r>
        <w:t xml:space="preserve"> </w:t>
      </w:r>
    </w:p>
    <w:p w14:paraId="56489E55" w14:textId="033D262C" w:rsidR="007032E7" w:rsidRDefault="007032E7" w:rsidP="007032E7">
      <w:r>
        <w:rPr>
          <w:lang w:eastAsia="en-US"/>
        </w:rPr>
        <w:t xml:space="preserve">With little over 4 weeks till </w:t>
      </w:r>
      <w:hyperlink r:id="rId12" w:history="1">
        <w:r w:rsidRPr="00D60977">
          <w:rPr>
            <w:rStyle w:val="Hyperlink"/>
            <w:lang w:eastAsia="en-US"/>
          </w:rPr>
          <w:t>COP26</w:t>
        </w:r>
      </w:hyperlink>
      <w:r>
        <w:rPr>
          <w:lang w:eastAsia="en-US"/>
        </w:rPr>
        <w:t xml:space="preserve"> in Glasgow, ministers reaffirmed OSPAR’s </w:t>
      </w:r>
      <w:r w:rsidR="005A71BD">
        <w:rPr>
          <w:lang w:eastAsia="en-US"/>
        </w:rPr>
        <w:t xml:space="preserve">leadership </w:t>
      </w:r>
      <w:r>
        <w:rPr>
          <w:lang w:eastAsia="en-US"/>
        </w:rPr>
        <w:t xml:space="preserve">role on the world stage, including in global negotiations on the conservation and sustainable use of marine biodiversity in the high seas, and OSPAR’s contribution to </w:t>
      </w:r>
      <w:r>
        <w:t xml:space="preserve">the achievement of the United Nations 2030 Agenda for Sustainable Development and its </w:t>
      </w:r>
      <w:hyperlink r:id="rId13" w:history="1">
        <w:r w:rsidRPr="00696AFF">
          <w:rPr>
            <w:rStyle w:val="Hyperlink"/>
          </w:rPr>
          <w:t>Sustainable Development Goals</w:t>
        </w:r>
      </w:hyperlink>
      <w:r>
        <w:t xml:space="preserve">. </w:t>
      </w:r>
    </w:p>
    <w:p w14:paraId="3A478B1D" w14:textId="64E9368A" w:rsidR="005A71BD" w:rsidRDefault="005A71BD" w:rsidP="007032E7">
      <w:r>
        <w:t xml:space="preserve">Ocean Ambassador </w:t>
      </w:r>
      <w:hyperlink r:id="rId14" w:history="1">
        <w:r w:rsidRPr="00696AFF">
          <w:rPr>
            <w:rStyle w:val="Hyperlink"/>
          </w:rPr>
          <w:t>Dr Sylvia Earle</w:t>
        </w:r>
      </w:hyperlink>
      <w:r>
        <w:t xml:space="preserve"> </w:t>
      </w:r>
      <w:r w:rsidR="00640F56">
        <w:t>said,</w:t>
      </w:r>
      <w:r>
        <w:t xml:space="preserve"> “</w:t>
      </w:r>
      <w:r w:rsidR="00296CFE">
        <w:t>A</w:t>
      </w:r>
      <w:r w:rsidR="00034C47">
        <w:t>ctions taken in the next 10 years, will determine the fate of the next 10 thousand years”.</w:t>
      </w:r>
    </w:p>
    <w:p w14:paraId="501D194B" w14:textId="3482740D" w:rsidR="004F5790" w:rsidRDefault="00D639AB" w:rsidP="004F5790">
      <w:r>
        <w:t>OSPAR Chair, Richard Cronin (Ireland) said “</w:t>
      </w:r>
      <w:r w:rsidR="005A71BD">
        <w:t>The time for talking is over, we now embark on a decade of action to protect and conserve the North-East Atlantic”</w:t>
      </w:r>
      <w:r w:rsidR="004F5790">
        <w:t>.</w:t>
      </w:r>
    </w:p>
    <w:p w14:paraId="2A25C365" w14:textId="67D34A8B" w:rsidR="00B66C64" w:rsidRDefault="00462C5A" w:rsidP="00AF64B3">
      <w:r>
        <w:t>ENDS</w:t>
      </w:r>
    </w:p>
    <w:p w14:paraId="05C5D40F" w14:textId="77777777" w:rsidR="00B66C64" w:rsidRDefault="00462C5A">
      <w:pPr>
        <w:jc w:val="both"/>
      </w:pPr>
      <w:r>
        <w:lastRenderedPageBreak/>
        <w:t>Note for editors</w:t>
      </w:r>
    </w:p>
    <w:p w14:paraId="1164F92D" w14:textId="77777777" w:rsidR="00B66C64" w:rsidRDefault="00B66C64">
      <w:pPr>
        <w:jc w:val="both"/>
      </w:pPr>
    </w:p>
    <w:p w14:paraId="69B7EFE3" w14:textId="2C297985" w:rsidR="00B66C64" w:rsidRDefault="00462C5A">
      <w:pPr>
        <w:jc w:val="both"/>
        <w:rPr>
          <w:sz w:val="20"/>
          <w:szCs w:val="20"/>
        </w:rPr>
      </w:pPr>
      <w:r>
        <w:rPr>
          <w:sz w:val="20"/>
          <w:szCs w:val="20"/>
        </w:rPr>
        <w:t>1.</w:t>
      </w:r>
      <w:r>
        <w:rPr>
          <w:sz w:val="20"/>
          <w:szCs w:val="20"/>
        </w:rPr>
        <w:tab/>
        <w:t xml:space="preserve">The OSPAR Commission was set up by the 1992 OSPAR Convention for the Protection of the Marine Environment of the North-East Atlantic, which unified and updated the 1972 Oslo and 1974 Paris Conventions. It brings together the governments of Belgium, Denmark, Finland, France, Germany, Iceland, Ireland, Luxembourg, the Netherlands, Norway, Portugal, Spain, Sweden, </w:t>
      </w:r>
      <w:proofErr w:type="gramStart"/>
      <w:r>
        <w:rPr>
          <w:sz w:val="20"/>
          <w:szCs w:val="20"/>
        </w:rPr>
        <w:t>Switzerland</w:t>
      </w:r>
      <w:proofErr w:type="gramEnd"/>
      <w:r>
        <w:rPr>
          <w:sz w:val="20"/>
          <w:szCs w:val="20"/>
        </w:rPr>
        <w:t xml:space="preserve"> and the United Kingdom, together with the European </w:t>
      </w:r>
      <w:r w:rsidR="003E4ADB">
        <w:rPr>
          <w:sz w:val="20"/>
          <w:szCs w:val="20"/>
        </w:rPr>
        <w:t>Union</w:t>
      </w:r>
      <w:r>
        <w:rPr>
          <w:sz w:val="20"/>
          <w:szCs w:val="20"/>
        </w:rPr>
        <w:t>.</w:t>
      </w:r>
    </w:p>
    <w:p w14:paraId="507ACEAD" w14:textId="77777777" w:rsidR="00B66C64" w:rsidRDefault="00462C5A">
      <w:pPr>
        <w:jc w:val="both"/>
        <w:rPr>
          <w:sz w:val="20"/>
          <w:szCs w:val="20"/>
        </w:rPr>
      </w:pPr>
      <w:r>
        <w:rPr>
          <w:sz w:val="20"/>
          <w:szCs w:val="20"/>
        </w:rPr>
        <w:t>2.</w:t>
      </w:r>
      <w:r>
        <w:rPr>
          <w:sz w:val="20"/>
          <w:szCs w:val="20"/>
        </w:rPr>
        <w:tab/>
        <w:t xml:space="preserve">OSPAR’s current North-East Atlantic Environment Strategy (NEAES) 2010-2020 can be viewed here www.ospar.org/convention/strategy. We will launch our NEAES 2030 at our Ministerial meeting on 1 October. This will include objectives on climate change and ocean acidification for the first time. </w:t>
      </w:r>
    </w:p>
    <w:p w14:paraId="12579C51" w14:textId="6A233795" w:rsidR="00B66C64" w:rsidRDefault="00462C5A">
      <w:pPr>
        <w:jc w:val="both"/>
        <w:rPr>
          <w:sz w:val="20"/>
          <w:szCs w:val="20"/>
        </w:rPr>
      </w:pPr>
      <w:r>
        <w:rPr>
          <w:sz w:val="20"/>
          <w:szCs w:val="20"/>
        </w:rPr>
        <w:t>3.</w:t>
      </w:r>
      <w:r>
        <w:rPr>
          <w:sz w:val="20"/>
          <w:szCs w:val="20"/>
        </w:rPr>
        <w:tab/>
        <w:t xml:space="preserve">For more information on the Ministerial meeting 2021, please see this page </w:t>
      </w:r>
      <w:hyperlink r:id="rId15" w:history="1">
        <w:r w:rsidR="00AF64B3" w:rsidRPr="00554232">
          <w:rPr>
            <w:rStyle w:val="Hyperlink"/>
            <w:sz w:val="20"/>
            <w:szCs w:val="20"/>
          </w:rPr>
          <w:t>www.ospar.org/ministerial</w:t>
        </w:r>
      </w:hyperlink>
    </w:p>
    <w:p w14:paraId="5021C12E" w14:textId="64184CA2" w:rsidR="00AF64B3" w:rsidRDefault="00426B6E">
      <w:pPr>
        <w:jc w:val="both"/>
        <w:rPr>
          <w:sz w:val="20"/>
          <w:szCs w:val="20"/>
        </w:rPr>
      </w:pPr>
      <w:proofErr w:type="gramStart"/>
      <w:r>
        <w:rPr>
          <w:sz w:val="20"/>
          <w:szCs w:val="20"/>
        </w:rPr>
        <w:t>4 .</w:t>
      </w:r>
      <w:proofErr w:type="gramEnd"/>
      <w:r>
        <w:rPr>
          <w:sz w:val="20"/>
          <w:szCs w:val="20"/>
        </w:rPr>
        <w:tab/>
      </w:r>
      <w:r w:rsidRPr="00696AFF">
        <w:rPr>
          <w:sz w:val="20"/>
          <w:szCs w:val="20"/>
        </w:rPr>
        <w:t>For a full list of Ministerial deliverables, please visit</w:t>
      </w:r>
      <w:r w:rsidR="00696AFF" w:rsidRPr="00696AFF">
        <w:rPr>
          <w:sz w:val="20"/>
          <w:szCs w:val="20"/>
        </w:rPr>
        <w:t xml:space="preserve"> </w:t>
      </w:r>
      <w:hyperlink r:id="rId16" w:history="1">
        <w:r w:rsidR="00AF64B3" w:rsidRPr="00554232">
          <w:rPr>
            <w:rStyle w:val="Hyperlink"/>
            <w:sz w:val="20"/>
            <w:szCs w:val="20"/>
          </w:rPr>
          <w:t>www.ospar.org/ministerial/deliverables</w:t>
        </w:r>
      </w:hyperlink>
    </w:p>
    <w:p w14:paraId="65BE5466" w14:textId="5B04D212" w:rsidR="00B66C64" w:rsidRPr="003C75EA" w:rsidRDefault="006F35C8">
      <w:pPr>
        <w:jc w:val="both"/>
        <w:rPr>
          <w:sz w:val="20"/>
          <w:szCs w:val="20"/>
        </w:rPr>
      </w:pPr>
      <w:r>
        <w:rPr>
          <w:noProof/>
        </w:rPr>
        <w:drawing>
          <wp:inline distT="0" distB="0" distL="0" distR="0" wp14:anchorId="2A5B7DEB" wp14:editId="07912F61">
            <wp:extent cx="4248150" cy="4749869"/>
            <wp:effectExtent l="0" t="0" r="0"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0213" cy="4763356"/>
                    </a:xfrm>
                    <a:prstGeom prst="rect">
                      <a:avLst/>
                    </a:prstGeom>
                    <a:noFill/>
                    <a:ln>
                      <a:noFill/>
                    </a:ln>
                  </pic:spPr>
                </pic:pic>
              </a:graphicData>
            </a:graphic>
          </wp:inline>
        </w:drawing>
      </w:r>
    </w:p>
    <w:sectPr w:rsidR="00B66C64" w:rsidRPr="003C75EA" w:rsidSect="004F5790">
      <w:headerReference w:type="default" r:id="rId18"/>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FA0E" w14:textId="77777777" w:rsidR="00270215" w:rsidRDefault="00270215" w:rsidP="00270215">
      <w:pPr>
        <w:spacing w:after="0" w:line="240" w:lineRule="auto"/>
      </w:pPr>
      <w:r>
        <w:separator/>
      </w:r>
    </w:p>
  </w:endnote>
  <w:endnote w:type="continuationSeparator" w:id="0">
    <w:p w14:paraId="1CDD114D" w14:textId="77777777" w:rsidR="00270215" w:rsidRDefault="00270215" w:rsidP="0027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1A11" w14:textId="77777777" w:rsidR="00270215" w:rsidRDefault="00270215" w:rsidP="00270215">
      <w:pPr>
        <w:spacing w:after="0" w:line="240" w:lineRule="auto"/>
      </w:pPr>
      <w:r>
        <w:separator/>
      </w:r>
    </w:p>
  </w:footnote>
  <w:footnote w:type="continuationSeparator" w:id="0">
    <w:p w14:paraId="03CEF3B9" w14:textId="77777777" w:rsidR="00270215" w:rsidRDefault="00270215" w:rsidP="0027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5AED" w14:textId="3582030F" w:rsidR="00270215" w:rsidRDefault="00270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848B9"/>
    <w:multiLevelType w:val="hybridMultilevel"/>
    <w:tmpl w:val="75A020D4"/>
    <w:lvl w:ilvl="0" w:tplc="46BE530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E431647"/>
    <w:multiLevelType w:val="hybridMultilevel"/>
    <w:tmpl w:val="AD56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64"/>
    <w:rsid w:val="00034C47"/>
    <w:rsid w:val="0009715A"/>
    <w:rsid w:val="000C26B9"/>
    <w:rsid w:val="000E7177"/>
    <w:rsid w:val="001113F8"/>
    <w:rsid w:val="00112153"/>
    <w:rsid w:val="00137E96"/>
    <w:rsid w:val="001514FF"/>
    <w:rsid w:val="00170214"/>
    <w:rsid w:val="001F1777"/>
    <w:rsid w:val="001F571C"/>
    <w:rsid w:val="00213503"/>
    <w:rsid w:val="00270215"/>
    <w:rsid w:val="00296CFE"/>
    <w:rsid w:val="002F0F50"/>
    <w:rsid w:val="003C75EA"/>
    <w:rsid w:val="003E4ADB"/>
    <w:rsid w:val="00402EFE"/>
    <w:rsid w:val="00414E36"/>
    <w:rsid w:val="00426B6E"/>
    <w:rsid w:val="004404D6"/>
    <w:rsid w:val="004521C5"/>
    <w:rsid w:val="00462C5A"/>
    <w:rsid w:val="0047169B"/>
    <w:rsid w:val="004F5790"/>
    <w:rsid w:val="005161C5"/>
    <w:rsid w:val="005A71BD"/>
    <w:rsid w:val="005E4790"/>
    <w:rsid w:val="005F79FD"/>
    <w:rsid w:val="006231F2"/>
    <w:rsid w:val="00640F56"/>
    <w:rsid w:val="00651C25"/>
    <w:rsid w:val="00696AFF"/>
    <w:rsid w:val="006F35C8"/>
    <w:rsid w:val="007032E7"/>
    <w:rsid w:val="0071747B"/>
    <w:rsid w:val="00730645"/>
    <w:rsid w:val="007401C6"/>
    <w:rsid w:val="007B3A9B"/>
    <w:rsid w:val="007E076C"/>
    <w:rsid w:val="008224F3"/>
    <w:rsid w:val="00835950"/>
    <w:rsid w:val="00870C41"/>
    <w:rsid w:val="008E2A38"/>
    <w:rsid w:val="008F05A8"/>
    <w:rsid w:val="00926845"/>
    <w:rsid w:val="00935F14"/>
    <w:rsid w:val="00951158"/>
    <w:rsid w:val="00952021"/>
    <w:rsid w:val="0097613B"/>
    <w:rsid w:val="009C5579"/>
    <w:rsid w:val="00A014B3"/>
    <w:rsid w:val="00A42F3D"/>
    <w:rsid w:val="00A610C1"/>
    <w:rsid w:val="00A76891"/>
    <w:rsid w:val="00AE45C0"/>
    <w:rsid w:val="00AF64B3"/>
    <w:rsid w:val="00B2005C"/>
    <w:rsid w:val="00B66C64"/>
    <w:rsid w:val="00B974C7"/>
    <w:rsid w:val="00BB5D41"/>
    <w:rsid w:val="00D60977"/>
    <w:rsid w:val="00D639AB"/>
    <w:rsid w:val="00E66ACB"/>
    <w:rsid w:val="00F009FD"/>
    <w:rsid w:val="00F619ED"/>
    <w:rsid w:val="00F82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B21BB"/>
  <w15:docId w15:val="{B9F6507D-2137-4245-B186-1AA93286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225E61"/>
    <w:pPr>
      <w:spacing w:after="0" w:line="480" w:lineRule="atLeast"/>
      <w:outlineLvl w:val="0"/>
    </w:pPr>
    <w:rPr>
      <w:rFonts w:ascii="Arial" w:eastAsia="Times New Roman" w:hAnsi="Arial" w:cs="Times New Roman"/>
      <w:noProof/>
      <w:color w:val="16288E"/>
      <w:kern w:val="28"/>
      <w:sz w:val="48"/>
      <w:szCs w:val="20"/>
    </w:rPr>
  </w:style>
  <w:style w:type="character" w:styleId="Hyperlink">
    <w:name w:val="Hyperlink"/>
    <w:rsid w:val="00225E61"/>
    <w:rPr>
      <w:color w:val="16288E"/>
      <w:u w:val="none"/>
    </w:rPr>
  </w:style>
  <w:style w:type="character" w:customStyle="1" w:styleId="TitleChar">
    <w:name w:val="Title Char"/>
    <w:basedOn w:val="DefaultParagraphFont"/>
    <w:link w:val="Title"/>
    <w:rsid w:val="00225E61"/>
    <w:rPr>
      <w:rFonts w:ascii="Arial" w:eastAsia="Times New Roman" w:hAnsi="Arial" w:cs="Times New Roman"/>
      <w:noProof/>
      <w:color w:val="16288E"/>
      <w:kern w:val="28"/>
      <w:sz w:val="48"/>
      <w:szCs w:val="20"/>
      <w:lang w:eastAsia="en-GB"/>
    </w:rPr>
  </w:style>
  <w:style w:type="table" w:styleId="TableGrid">
    <w:name w:val="Table Grid"/>
    <w:basedOn w:val="TableNormal"/>
    <w:uiPriority w:val="59"/>
    <w:rsid w:val="00225E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169B"/>
    <w:rPr>
      <w:b/>
      <w:bCs/>
    </w:rPr>
  </w:style>
  <w:style w:type="character" w:customStyle="1" w:styleId="CommentSubjectChar">
    <w:name w:val="Comment Subject Char"/>
    <w:basedOn w:val="CommentTextChar"/>
    <w:link w:val="CommentSubject"/>
    <w:uiPriority w:val="99"/>
    <w:semiHidden/>
    <w:rsid w:val="0047169B"/>
    <w:rPr>
      <w:b/>
      <w:bCs/>
      <w:sz w:val="20"/>
      <w:szCs w:val="20"/>
    </w:rPr>
  </w:style>
  <w:style w:type="paragraph" w:styleId="ListParagraph">
    <w:name w:val="List Paragraph"/>
    <w:basedOn w:val="Normal"/>
    <w:uiPriority w:val="34"/>
    <w:qFormat/>
    <w:rsid w:val="004404D6"/>
    <w:pPr>
      <w:spacing w:after="0" w:line="240" w:lineRule="auto"/>
      <w:ind w:left="720"/>
    </w:pPr>
    <w:rPr>
      <w:rFonts w:eastAsiaTheme="minorHAnsi"/>
    </w:rPr>
  </w:style>
  <w:style w:type="character" w:styleId="UnresolvedMention">
    <w:name w:val="Unresolved Mention"/>
    <w:basedOn w:val="DefaultParagraphFont"/>
    <w:uiPriority w:val="99"/>
    <w:semiHidden/>
    <w:unhideWhenUsed/>
    <w:rsid w:val="001F1777"/>
    <w:rPr>
      <w:color w:val="605E5C"/>
      <w:shd w:val="clear" w:color="auto" w:fill="E1DFDD"/>
    </w:rPr>
  </w:style>
  <w:style w:type="paragraph" w:styleId="Header">
    <w:name w:val="header"/>
    <w:basedOn w:val="Normal"/>
    <w:link w:val="HeaderChar"/>
    <w:uiPriority w:val="99"/>
    <w:unhideWhenUsed/>
    <w:rsid w:val="0027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15"/>
  </w:style>
  <w:style w:type="paragraph" w:styleId="Footer">
    <w:name w:val="footer"/>
    <w:basedOn w:val="Normal"/>
    <w:link w:val="FooterChar"/>
    <w:uiPriority w:val="99"/>
    <w:unhideWhenUsed/>
    <w:rsid w:val="0027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2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dgs.un.org/goal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cop26.or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ospar.org/ministerial/deliverab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par.org" TargetMode="External"/><Relationship Id="rId5" Type="http://schemas.openxmlformats.org/officeDocument/2006/relationships/webSettings" Target="webSettings.xml"/><Relationship Id="rId15" Type="http://schemas.openxmlformats.org/officeDocument/2006/relationships/hyperlink" Target="http://www.ospar.org/ministerial" TargetMode="External"/><Relationship Id="rId10" Type="http://schemas.openxmlformats.org/officeDocument/2006/relationships/hyperlink" Target="http://www.ospa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cy.ritchie@ospar.org" TargetMode="External"/><Relationship Id="rId14" Type="http://schemas.openxmlformats.org/officeDocument/2006/relationships/hyperlink" Target="https://mission-blue.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m2yswc4hGWfF00JTYdkJghReMQ==">AMUW2mUbD1+aMVsSHZw3gcykNFJyfFrND/Wd8hfdC8sA8PPR7X2pSOj/X7Otup/fL1IcqLdqTsUcyPR59nJj4pEVUvFB2mvFDgGf+1mReY0exNOdvCkVayibrX5OjRonZwUTeMU750PLimwZyKWqzNl9Dfd7OD5hjlLfqYgt16RigufD0AgMa7nT0n685MIgaoBXt5+/Fjlqu0ovpJfHUdvE3kicoTFnffoA33JSb6Mju/6ON89OQUKKNVxKkBKUEpTWk1NmflnffYTIwJsEUqNlsIdtYeQa0G8Yi2WMHR91Sv+EBbae5uQ6dJkX7fsaelq2FzXl94mfU92kHL097+9jGu9TTf8lU1bGuvLh96LcspCaUMRlcTdJ5E8dQvvXvn/8IpruXwnfNViFnQud23+vqYv3bQKyo6T6NK8wwTFClOcOEhJY7A0R728mHdzsWpgzApcLrI1fCAkG72HrUleVkwUmY6jAocHZIqKFJKD6yHa0QnYE4EUDdGO/+q79t/JbWk9/pzx8eTuiyJ/NA4v0M5dviuApXRaViotHKGDmh8HZ+mk3mn1XewVceALGj7yXe6OqlZ6bVH9Crh3aOXpfatB+/XrhE6w2h0GJlY4s6gJHpaU3Rmp93ST8t4FDB7kjd+3jCLZMPcsP6KCcc7z7Ln5KQXaukOx2PfrXtnIEDYwyTrApamZg4azVwCH0tpcGNQVMSC3hwtYBdCgEJPl1U5SDwbS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Ritchie</dc:creator>
  <cp:lastModifiedBy>Lucy Ritchie</cp:lastModifiedBy>
  <cp:revision>12</cp:revision>
  <dcterms:created xsi:type="dcterms:W3CDTF">2021-09-30T12:42:00Z</dcterms:created>
  <dcterms:modified xsi:type="dcterms:W3CDTF">2021-10-01T09:46:00Z</dcterms:modified>
</cp:coreProperties>
</file>