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BDD66" w14:textId="77777777" w:rsidR="00F20D05" w:rsidRPr="003144FA" w:rsidRDefault="00F20D05">
      <w:pPr>
        <w:pStyle w:val="Title"/>
        <w:rPr>
          <w:rFonts w:asciiTheme="majorHAnsi" w:hAnsiTheme="majorHAnsi" w:cstheme="majorHAnsi"/>
          <w:color w:val="auto"/>
          <w:sz w:val="32"/>
          <w:szCs w:val="32"/>
          <w:lang w:val="es-ES"/>
        </w:rPr>
      </w:pPr>
    </w:p>
    <w:p w14:paraId="1227B3F0" w14:textId="6A3881E3" w:rsidR="007E79A7" w:rsidRPr="003F1668" w:rsidRDefault="007E79A7">
      <w:pPr>
        <w:pStyle w:val="Title"/>
        <w:rPr>
          <w:rFonts w:asciiTheme="majorHAnsi" w:hAnsiTheme="majorHAnsi" w:cstheme="majorHAnsi"/>
          <w:color w:val="auto"/>
          <w:sz w:val="32"/>
          <w:szCs w:val="32"/>
        </w:rPr>
      </w:pPr>
      <w:r w:rsidRPr="003F1668">
        <w:rPr>
          <w:rFonts w:asciiTheme="majorHAnsi" w:hAnsiTheme="majorHAnsi" w:cstheme="majorHAnsi"/>
          <w:color w:val="auto"/>
          <w:sz w:val="32"/>
          <w:szCs w:val="32"/>
        </w:rPr>
        <w:t>Press release</w:t>
      </w:r>
      <w:r w:rsidR="00E65389" w:rsidRPr="003F1668">
        <w:rPr>
          <w:rFonts w:asciiTheme="majorHAnsi" w:hAnsiTheme="majorHAnsi" w:cstheme="majorHAnsi"/>
          <w:color w:val="auto"/>
          <w:sz w:val="32"/>
          <w:szCs w:val="32"/>
        </w:rPr>
        <w:t xml:space="preserve"> </w:t>
      </w:r>
      <w:r w:rsidR="00887CFA">
        <w:rPr>
          <w:rFonts w:asciiTheme="majorHAnsi" w:hAnsiTheme="majorHAnsi" w:cstheme="majorHAnsi"/>
          <w:color w:val="auto"/>
          <w:sz w:val="32"/>
          <w:szCs w:val="32"/>
        </w:rPr>
        <w:t>5</w:t>
      </w:r>
      <w:r w:rsidR="002C187C" w:rsidRPr="003F1668">
        <w:rPr>
          <w:rFonts w:asciiTheme="majorHAnsi" w:hAnsiTheme="majorHAnsi" w:cstheme="majorHAnsi"/>
          <w:color w:val="auto"/>
          <w:sz w:val="32"/>
          <w:szCs w:val="32"/>
        </w:rPr>
        <w:t xml:space="preserve"> </w:t>
      </w:r>
      <w:r w:rsidR="00887CFA">
        <w:rPr>
          <w:rFonts w:asciiTheme="majorHAnsi" w:hAnsiTheme="majorHAnsi" w:cstheme="majorHAnsi"/>
          <w:color w:val="auto"/>
          <w:sz w:val="32"/>
          <w:szCs w:val="32"/>
        </w:rPr>
        <w:t>November 2021</w:t>
      </w:r>
    </w:p>
    <w:p w14:paraId="182EC67F" w14:textId="77777777" w:rsidR="003972B5" w:rsidRPr="003F1668" w:rsidRDefault="003972B5" w:rsidP="003972B5">
      <w:pPr>
        <w:rPr>
          <w:rFonts w:asciiTheme="majorHAnsi" w:hAnsiTheme="majorHAnsi" w:cstheme="majorHAnsi"/>
          <w:sz w:val="22"/>
          <w:szCs w:val="22"/>
        </w:rPr>
      </w:pPr>
    </w:p>
    <w:p w14:paraId="5581B47A" w14:textId="77777777" w:rsidR="00034FE4" w:rsidRPr="003F1668" w:rsidRDefault="00034FE4">
      <w:pPr>
        <w:rPr>
          <w:rFonts w:asciiTheme="majorHAnsi" w:hAnsiTheme="majorHAnsi" w:cstheme="majorHAnsi"/>
          <w:sz w:val="22"/>
          <w:szCs w:val="22"/>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004"/>
        <w:gridCol w:w="3062"/>
        <w:gridCol w:w="3005"/>
      </w:tblGrid>
      <w:tr w:rsidR="00D564A2" w:rsidRPr="003F1668" w14:paraId="279B2884" w14:textId="77777777" w:rsidTr="00D564A2">
        <w:tc>
          <w:tcPr>
            <w:tcW w:w="3095" w:type="dxa"/>
          </w:tcPr>
          <w:p w14:paraId="6BF58AF4" w14:textId="77777777" w:rsidR="00D564A2" w:rsidRPr="003F1668" w:rsidRDefault="00D564A2">
            <w:pPr>
              <w:rPr>
                <w:rFonts w:asciiTheme="majorHAnsi" w:hAnsiTheme="majorHAnsi" w:cstheme="majorHAnsi"/>
                <w:b/>
                <w:sz w:val="22"/>
                <w:szCs w:val="22"/>
              </w:rPr>
            </w:pPr>
            <w:r w:rsidRPr="003F1668">
              <w:rPr>
                <w:rFonts w:asciiTheme="majorHAnsi" w:hAnsiTheme="majorHAnsi" w:cstheme="majorHAnsi"/>
                <w:b/>
                <w:sz w:val="22"/>
                <w:szCs w:val="22"/>
              </w:rPr>
              <w:t>OSPAR Contact:</w:t>
            </w:r>
          </w:p>
          <w:p w14:paraId="45E09C4A" w14:textId="77777777" w:rsidR="00D564A2" w:rsidRPr="003F1668" w:rsidRDefault="00F91AAD">
            <w:pPr>
              <w:rPr>
                <w:rFonts w:asciiTheme="majorHAnsi" w:hAnsiTheme="majorHAnsi" w:cstheme="majorHAnsi"/>
                <w:b/>
                <w:sz w:val="22"/>
                <w:szCs w:val="22"/>
              </w:rPr>
            </w:pPr>
            <w:r w:rsidRPr="003F1668">
              <w:rPr>
                <w:rFonts w:asciiTheme="majorHAnsi" w:hAnsiTheme="majorHAnsi" w:cstheme="majorHAnsi"/>
                <w:b/>
                <w:sz w:val="22"/>
                <w:szCs w:val="22"/>
              </w:rPr>
              <w:t>Lucy Ritchie</w:t>
            </w:r>
          </w:p>
          <w:p w14:paraId="54D8A137" w14:textId="77777777" w:rsidR="00D564A2" w:rsidRPr="003F1668" w:rsidRDefault="00D564A2">
            <w:pPr>
              <w:rPr>
                <w:rFonts w:asciiTheme="majorHAnsi" w:hAnsiTheme="majorHAnsi" w:cstheme="majorHAnsi"/>
                <w:b/>
                <w:sz w:val="22"/>
                <w:szCs w:val="22"/>
              </w:rPr>
            </w:pPr>
          </w:p>
        </w:tc>
        <w:tc>
          <w:tcPr>
            <w:tcW w:w="3096" w:type="dxa"/>
          </w:tcPr>
          <w:p w14:paraId="15ADAF1F" w14:textId="77777777" w:rsidR="00D564A2" w:rsidRPr="003F1668" w:rsidRDefault="00D564A2">
            <w:pPr>
              <w:rPr>
                <w:rFonts w:asciiTheme="majorHAnsi" w:hAnsiTheme="majorHAnsi" w:cstheme="majorHAnsi"/>
                <w:b/>
                <w:sz w:val="22"/>
                <w:szCs w:val="22"/>
              </w:rPr>
            </w:pPr>
            <w:r w:rsidRPr="003F1668">
              <w:rPr>
                <w:rFonts w:asciiTheme="majorHAnsi" w:hAnsiTheme="majorHAnsi" w:cstheme="majorHAnsi"/>
                <w:b/>
                <w:sz w:val="22"/>
                <w:szCs w:val="22"/>
              </w:rPr>
              <w:t xml:space="preserve">Tel:  +44 (0)20 </w:t>
            </w:r>
            <w:r w:rsidR="002B0E1D" w:rsidRPr="003F1668">
              <w:rPr>
                <w:rFonts w:asciiTheme="majorHAnsi" w:hAnsiTheme="majorHAnsi" w:cstheme="majorHAnsi"/>
                <w:b/>
                <w:sz w:val="22"/>
                <w:szCs w:val="22"/>
              </w:rPr>
              <w:t>7430 5200</w:t>
            </w:r>
          </w:p>
          <w:p w14:paraId="43240091" w14:textId="77777777" w:rsidR="00D564A2" w:rsidRPr="003F1668" w:rsidRDefault="00D564A2">
            <w:pPr>
              <w:rPr>
                <w:rFonts w:asciiTheme="majorHAnsi" w:hAnsiTheme="majorHAnsi" w:cstheme="majorHAnsi"/>
                <w:b/>
                <w:sz w:val="22"/>
                <w:szCs w:val="22"/>
              </w:rPr>
            </w:pPr>
            <w:r w:rsidRPr="003F1668">
              <w:rPr>
                <w:rFonts w:asciiTheme="majorHAnsi" w:hAnsiTheme="majorHAnsi" w:cstheme="majorHAnsi"/>
                <w:b/>
                <w:sz w:val="22"/>
                <w:szCs w:val="22"/>
              </w:rPr>
              <w:t xml:space="preserve">Email: </w:t>
            </w:r>
            <w:hyperlink r:id="rId8" w:history="1">
              <w:r w:rsidR="00656244" w:rsidRPr="003F1668">
                <w:rPr>
                  <w:rStyle w:val="Hyperlink"/>
                  <w:rFonts w:asciiTheme="majorHAnsi" w:hAnsiTheme="majorHAnsi" w:cstheme="majorHAnsi"/>
                  <w:b/>
                  <w:color w:val="auto"/>
                  <w:sz w:val="22"/>
                  <w:szCs w:val="22"/>
                </w:rPr>
                <w:t>lucy.ritchie@ospar.org</w:t>
              </w:r>
            </w:hyperlink>
            <w:r w:rsidR="00656244" w:rsidRPr="003F1668">
              <w:rPr>
                <w:rFonts w:asciiTheme="majorHAnsi" w:hAnsiTheme="majorHAnsi" w:cstheme="majorHAnsi"/>
                <w:b/>
                <w:sz w:val="22"/>
                <w:szCs w:val="22"/>
              </w:rPr>
              <w:t xml:space="preserve"> </w:t>
            </w:r>
          </w:p>
          <w:p w14:paraId="57369F61" w14:textId="77777777" w:rsidR="009A4FB8" w:rsidRPr="003F1668" w:rsidRDefault="009A4FB8">
            <w:pPr>
              <w:rPr>
                <w:rFonts w:asciiTheme="majorHAnsi" w:hAnsiTheme="majorHAnsi" w:cstheme="majorHAnsi"/>
                <w:b/>
                <w:sz w:val="22"/>
                <w:szCs w:val="22"/>
              </w:rPr>
            </w:pPr>
            <w:r w:rsidRPr="003F1668">
              <w:rPr>
                <w:rFonts w:asciiTheme="majorHAnsi" w:hAnsiTheme="majorHAnsi" w:cstheme="majorHAnsi"/>
                <w:b/>
                <w:sz w:val="22"/>
                <w:szCs w:val="22"/>
              </w:rPr>
              <w:t>www.ospar.org</w:t>
            </w:r>
          </w:p>
        </w:tc>
        <w:tc>
          <w:tcPr>
            <w:tcW w:w="3096" w:type="dxa"/>
          </w:tcPr>
          <w:p w14:paraId="4315AB4F" w14:textId="77777777" w:rsidR="00474D28" w:rsidRPr="003F1668" w:rsidRDefault="00474D28" w:rsidP="00474D28">
            <w:pPr>
              <w:rPr>
                <w:rFonts w:asciiTheme="majorHAnsi" w:hAnsiTheme="majorHAnsi" w:cstheme="majorHAnsi"/>
                <w:sz w:val="22"/>
                <w:szCs w:val="22"/>
              </w:rPr>
            </w:pPr>
            <w:r w:rsidRPr="003F1668">
              <w:rPr>
                <w:rFonts w:asciiTheme="majorHAnsi" w:hAnsiTheme="majorHAnsi" w:cstheme="majorHAnsi"/>
                <w:sz w:val="22"/>
                <w:szCs w:val="22"/>
              </w:rPr>
              <w:t>The Aspect</w:t>
            </w:r>
          </w:p>
          <w:p w14:paraId="3159C37A" w14:textId="77777777" w:rsidR="00474D28" w:rsidRPr="003F1668" w:rsidRDefault="00474D28" w:rsidP="00474D28">
            <w:pPr>
              <w:rPr>
                <w:rFonts w:asciiTheme="majorHAnsi" w:hAnsiTheme="majorHAnsi" w:cstheme="majorHAnsi"/>
                <w:sz w:val="22"/>
                <w:szCs w:val="22"/>
              </w:rPr>
            </w:pPr>
            <w:r w:rsidRPr="003F1668">
              <w:rPr>
                <w:rFonts w:asciiTheme="majorHAnsi" w:hAnsiTheme="majorHAnsi" w:cstheme="majorHAnsi"/>
                <w:sz w:val="22"/>
                <w:szCs w:val="22"/>
              </w:rPr>
              <w:t>12 Finsbury Square</w:t>
            </w:r>
          </w:p>
          <w:p w14:paraId="3D3EA70B" w14:textId="2E5D90CD" w:rsidR="00D564A2" w:rsidRPr="003F1668" w:rsidRDefault="00474D28" w:rsidP="00474D28">
            <w:pPr>
              <w:rPr>
                <w:rFonts w:asciiTheme="majorHAnsi" w:hAnsiTheme="majorHAnsi" w:cstheme="majorHAnsi"/>
                <w:sz w:val="18"/>
                <w:szCs w:val="18"/>
              </w:rPr>
            </w:pPr>
            <w:r w:rsidRPr="003F1668">
              <w:rPr>
                <w:rFonts w:asciiTheme="majorHAnsi" w:hAnsiTheme="majorHAnsi" w:cstheme="majorHAnsi"/>
                <w:sz w:val="22"/>
                <w:szCs w:val="22"/>
              </w:rPr>
              <w:t>London, EC2A 1AS</w:t>
            </w:r>
          </w:p>
        </w:tc>
      </w:tr>
    </w:tbl>
    <w:p w14:paraId="066E096D" w14:textId="77777777" w:rsidR="003F5D80" w:rsidRPr="003F1668" w:rsidRDefault="003F5D80" w:rsidP="00F84049">
      <w:pPr>
        <w:keepNext/>
        <w:tabs>
          <w:tab w:val="clear" w:pos="357"/>
        </w:tabs>
        <w:spacing w:after="280" w:line="400" w:lineRule="atLeast"/>
        <w:outlineLvl w:val="0"/>
        <w:rPr>
          <w:rFonts w:asciiTheme="majorHAnsi" w:hAnsiTheme="majorHAnsi" w:cstheme="majorHAnsi"/>
          <w:noProof/>
          <w:kern w:val="32"/>
          <w:sz w:val="22"/>
          <w:szCs w:val="22"/>
        </w:rPr>
      </w:pPr>
    </w:p>
    <w:p w14:paraId="0BA871CF" w14:textId="1C342782" w:rsidR="00CB0DC0" w:rsidRDefault="001F15DD" w:rsidP="00541CA0">
      <w:pPr>
        <w:tabs>
          <w:tab w:val="clear" w:pos="357"/>
        </w:tabs>
        <w:autoSpaceDE w:val="0"/>
        <w:autoSpaceDN w:val="0"/>
        <w:adjustRightInd w:val="0"/>
        <w:spacing w:line="240" w:lineRule="auto"/>
        <w:jc w:val="both"/>
        <w:rPr>
          <w:rFonts w:asciiTheme="majorHAnsi" w:hAnsiTheme="majorHAnsi" w:cstheme="majorHAnsi"/>
          <w:kern w:val="32"/>
          <w:sz w:val="24"/>
          <w:szCs w:val="24"/>
        </w:rPr>
      </w:pPr>
      <w:r>
        <w:rPr>
          <w:rFonts w:asciiTheme="majorHAnsi" w:hAnsiTheme="majorHAnsi" w:cstheme="majorHAnsi"/>
          <w:kern w:val="32"/>
          <w:sz w:val="24"/>
          <w:szCs w:val="24"/>
        </w:rPr>
        <w:t>REGIONAL</w:t>
      </w:r>
      <w:r w:rsidR="00CB0DC0" w:rsidRPr="003F1668">
        <w:rPr>
          <w:rFonts w:asciiTheme="majorHAnsi" w:hAnsiTheme="majorHAnsi" w:cstheme="majorHAnsi"/>
          <w:kern w:val="32"/>
          <w:sz w:val="24"/>
          <w:szCs w:val="24"/>
        </w:rPr>
        <w:t xml:space="preserve"> COOPERATION </w:t>
      </w:r>
      <w:r w:rsidR="00D9731C">
        <w:rPr>
          <w:rFonts w:asciiTheme="majorHAnsi" w:hAnsiTheme="majorHAnsi" w:cstheme="majorHAnsi"/>
          <w:kern w:val="32"/>
          <w:sz w:val="24"/>
          <w:szCs w:val="24"/>
        </w:rPr>
        <w:t xml:space="preserve">TO ACHIEVE </w:t>
      </w:r>
      <w:r w:rsidR="00211D3E">
        <w:rPr>
          <w:rFonts w:asciiTheme="majorHAnsi" w:hAnsiTheme="majorHAnsi" w:cstheme="majorHAnsi"/>
          <w:kern w:val="32"/>
          <w:sz w:val="24"/>
          <w:szCs w:val="24"/>
        </w:rPr>
        <w:t xml:space="preserve">A </w:t>
      </w:r>
      <w:r w:rsidR="00D9731C">
        <w:rPr>
          <w:rFonts w:asciiTheme="majorHAnsi" w:hAnsiTheme="majorHAnsi" w:cstheme="majorHAnsi"/>
          <w:kern w:val="32"/>
          <w:sz w:val="24"/>
          <w:szCs w:val="24"/>
        </w:rPr>
        <w:t xml:space="preserve">PRODUCTIVE AND SUSTAINABLY USED </w:t>
      </w:r>
      <w:r w:rsidR="00CB0DC0" w:rsidRPr="003F1668">
        <w:rPr>
          <w:rFonts w:asciiTheme="majorHAnsi" w:hAnsiTheme="majorHAnsi" w:cstheme="majorHAnsi"/>
          <w:kern w:val="32"/>
          <w:sz w:val="24"/>
          <w:szCs w:val="24"/>
        </w:rPr>
        <w:t>NORTH-EAST ATLANTIC</w:t>
      </w:r>
    </w:p>
    <w:p w14:paraId="0DD6082D" w14:textId="77777777" w:rsidR="002C187C" w:rsidRPr="003F1668" w:rsidRDefault="002C187C" w:rsidP="00541CA0">
      <w:pPr>
        <w:tabs>
          <w:tab w:val="clear" w:pos="357"/>
        </w:tabs>
        <w:autoSpaceDE w:val="0"/>
        <w:autoSpaceDN w:val="0"/>
        <w:adjustRightInd w:val="0"/>
        <w:spacing w:line="240" w:lineRule="auto"/>
        <w:jc w:val="both"/>
        <w:rPr>
          <w:rFonts w:asciiTheme="majorHAnsi" w:hAnsiTheme="majorHAnsi" w:cstheme="majorHAnsi"/>
          <w:kern w:val="32"/>
          <w:sz w:val="24"/>
          <w:szCs w:val="24"/>
        </w:rPr>
      </w:pPr>
    </w:p>
    <w:p w14:paraId="45D08B7E" w14:textId="7CAD11DF" w:rsidR="00541CA0" w:rsidRPr="003F1668" w:rsidRDefault="00B33B88" w:rsidP="00541CA0">
      <w:pPr>
        <w:tabs>
          <w:tab w:val="clear" w:pos="357"/>
        </w:tabs>
        <w:autoSpaceDE w:val="0"/>
        <w:autoSpaceDN w:val="0"/>
        <w:adjustRightInd w:val="0"/>
        <w:spacing w:line="240" w:lineRule="auto"/>
        <w:jc w:val="both"/>
        <w:rPr>
          <w:rFonts w:asciiTheme="majorHAnsi" w:eastAsia="Calibri" w:hAnsiTheme="majorHAnsi" w:cstheme="majorHAnsi"/>
          <w:b/>
          <w:sz w:val="22"/>
          <w:szCs w:val="22"/>
        </w:rPr>
      </w:pPr>
      <w:r w:rsidRPr="003F1668">
        <w:rPr>
          <w:rFonts w:asciiTheme="majorHAnsi" w:eastAsia="Calibri" w:hAnsiTheme="majorHAnsi" w:cstheme="majorHAnsi"/>
          <w:b/>
          <w:sz w:val="22"/>
          <w:szCs w:val="22"/>
        </w:rPr>
        <w:t xml:space="preserve">OSPAR </w:t>
      </w:r>
      <w:r w:rsidR="008E403D" w:rsidRPr="003F1668">
        <w:rPr>
          <w:rFonts w:asciiTheme="majorHAnsi" w:eastAsia="Calibri" w:hAnsiTheme="majorHAnsi" w:cstheme="majorHAnsi"/>
          <w:b/>
          <w:sz w:val="22"/>
          <w:szCs w:val="22"/>
        </w:rPr>
        <w:t>s</w:t>
      </w:r>
      <w:r w:rsidR="00CB0DC0" w:rsidRPr="003F1668">
        <w:rPr>
          <w:rFonts w:asciiTheme="majorHAnsi" w:eastAsia="Calibri" w:hAnsiTheme="majorHAnsi" w:cstheme="majorHAnsi"/>
          <w:b/>
          <w:sz w:val="22"/>
          <w:szCs w:val="22"/>
        </w:rPr>
        <w:t>pecial consultative meeting on the Disposal of Disused Offshore Installations</w:t>
      </w:r>
    </w:p>
    <w:p w14:paraId="6C844CF8" w14:textId="77777777" w:rsidR="00541CA0" w:rsidRPr="003F1668" w:rsidRDefault="00541CA0" w:rsidP="00541CA0">
      <w:pPr>
        <w:tabs>
          <w:tab w:val="clear" w:pos="357"/>
        </w:tabs>
        <w:autoSpaceDE w:val="0"/>
        <w:autoSpaceDN w:val="0"/>
        <w:adjustRightInd w:val="0"/>
        <w:spacing w:line="240" w:lineRule="auto"/>
        <w:jc w:val="both"/>
        <w:rPr>
          <w:rFonts w:asciiTheme="majorHAnsi" w:eastAsia="Calibri" w:hAnsiTheme="majorHAnsi" w:cstheme="majorHAnsi"/>
          <w:b/>
          <w:sz w:val="22"/>
          <w:szCs w:val="22"/>
        </w:rPr>
      </w:pPr>
    </w:p>
    <w:p w14:paraId="371967A0" w14:textId="6D417F5B" w:rsidR="00887CFA" w:rsidRDefault="002C187C" w:rsidP="00414B5B">
      <w:pPr>
        <w:spacing w:before="120" w:line="260" w:lineRule="atLeast"/>
        <w:jc w:val="both"/>
        <w:rPr>
          <w:rFonts w:asciiTheme="majorHAnsi" w:hAnsiTheme="majorHAnsi" w:cstheme="majorHAnsi"/>
        </w:rPr>
      </w:pPr>
      <w:bookmarkStart w:id="0" w:name="_Hlk22129819"/>
      <w:r w:rsidRPr="003F1668">
        <w:rPr>
          <w:rFonts w:asciiTheme="majorHAnsi" w:hAnsiTheme="majorHAnsi" w:cstheme="majorHAnsi"/>
        </w:rPr>
        <w:t xml:space="preserve">On Friday </w:t>
      </w:r>
      <w:r w:rsidR="00887CFA">
        <w:rPr>
          <w:rFonts w:asciiTheme="majorHAnsi" w:hAnsiTheme="majorHAnsi" w:cstheme="majorHAnsi"/>
        </w:rPr>
        <w:t>5 November 2021</w:t>
      </w:r>
      <w:r w:rsidRPr="003F1668">
        <w:rPr>
          <w:rFonts w:asciiTheme="majorHAnsi" w:hAnsiTheme="majorHAnsi" w:cstheme="majorHAnsi"/>
        </w:rPr>
        <w:t xml:space="preserve"> </w:t>
      </w:r>
      <w:r w:rsidR="00060359">
        <w:rPr>
          <w:rFonts w:asciiTheme="majorHAnsi" w:hAnsiTheme="majorHAnsi" w:cstheme="majorHAnsi"/>
        </w:rPr>
        <w:t xml:space="preserve">a special consultative meeting </w:t>
      </w:r>
      <w:r w:rsidRPr="003F1668">
        <w:rPr>
          <w:rFonts w:asciiTheme="majorHAnsi" w:hAnsiTheme="majorHAnsi" w:cstheme="majorHAnsi"/>
        </w:rPr>
        <w:t xml:space="preserve">in </w:t>
      </w:r>
      <w:r w:rsidR="00CB0DC0" w:rsidRPr="003F1668">
        <w:rPr>
          <w:rFonts w:asciiTheme="majorHAnsi" w:hAnsiTheme="majorHAnsi" w:cstheme="majorHAnsi"/>
        </w:rPr>
        <w:t>accordance with</w:t>
      </w:r>
      <w:r w:rsidR="009B1C09" w:rsidRPr="003F1668">
        <w:rPr>
          <w:rFonts w:asciiTheme="majorHAnsi" w:hAnsiTheme="majorHAnsi" w:cstheme="majorHAnsi"/>
        </w:rPr>
        <w:t xml:space="preserve"> </w:t>
      </w:r>
      <w:hyperlink r:id="rId9" w:history="1">
        <w:r w:rsidRPr="00957B33">
          <w:rPr>
            <w:rStyle w:val="Hyperlink"/>
            <w:rFonts w:asciiTheme="majorHAnsi" w:hAnsiTheme="majorHAnsi" w:cstheme="majorHAnsi"/>
          </w:rPr>
          <w:t>OSPAR Decision 98/3</w:t>
        </w:r>
      </w:hyperlink>
      <w:r w:rsidRPr="003F1668">
        <w:rPr>
          <w:rFonts w:asciiTheme="majorHAnsi" w:hAnsiTheme="majorHAnsi" w:cstheme="majorHAnsi"/>
        </w:rPr>
        <w:t xml:space="preserve"> on the Disposal of Disused Offshore Installations</w:t>
      </w:r>
      <w:r w:rsidR="00060359" w:rsidRPr="00060359">
        <w:rPr>
          <w:rFonts w:asciiTheme="majorHAnsi" w:hAnsiTheme="majorHAnsi" w:cstheme="majorHAnsi"/>
        </w:rPr>
        <w:t xml:space="preserve"> </w:t>
      </w:r>
      <w:r w:rsidR="00060359" w:rsidRPr="003F1668">
        <w:rPr>
          <w:rFonts w:asciiTheme="majorHAnsi" w:hAnsiTheme="majorHAnsi" w:cstheme="majorHAnsi"/>
        </w:rPr>
        <w:t>was held</w:t>
      </w:r>
      <w:r w:rsidR="00060359" w:rsidRPr="003F1668">
        <w:rPr>
          <w:rFonts w:asciiTheme="majorHAnsi" w:hAnsiTheme="majorHAnsi" w:cstheme="majorHAnsi"/>
          <w:b/>
        </w:rPr>
        <w:t xml:space="preserve"> </w:t>
      </w:r>
      <w:r w:rsidR="00060359" w:rsidRPr="003F1668">
        <w:rPr>
          <w:rFonts w:asciiTheme="majorHAnsi" w:hAnsiTheme="majorHAnsi" w:cstheme="majorHAnsi"/>
        </w:rPr>
        <w:t>in London</w:t>
      </w:r>
      <w:r w:rsidR="00CE5A74" w:rsidRPr="003F1668">
        <w:rPr>
          <w:rFonts w:asciiTheme="majorHAnsi" w:hAnsiTheme="majorHAnsi" w:cstheme="majorHAnsi"/>
        </w:rPr>
        <w:t xml:space="preserve">. </w:t>
      </w:r>
      <w:r w:rsidR="00D9731C" w:rsidRPr="003F1668">
        <w:rPr>
          <w:rFonts w:asciiTheme="majorHAnsi" w:hAnsiTheme="majorHAnsi" w:cstheme="majorHAnsi"/>
        </w:rPr>
        <w:t xml:space="preserve">The Decision prohibits the dumping, and leaving wholly or partly in place, of disused offshore installations within the maritime area but sets out a </w:t>
      </w:r>
      <w:r w:rsidR="00D9731C">
        <w:rPr>
          <w:rFonts w:asciiTheme="majorHAnsi" w:hAnsiTheme="majorHAnsi" w:cstheme="majorHAnsi"/>
        </w:rPr>
        <w:t xml:space="preserve">consultative </w:t>
      </w:r>
      <w:r w:rsidR="00D9731C" w:rsidRPr="003F1668">
        <w:rPr>
          <w:rFonts w:asciiTheme="majorHAnsi" w:hAnsiTheme="majorHAnsi" w:cstheme="majorHAnsi"/>
        </w:rPr>
        <w:t xml:space="preserve">process for considering derogations to this </w:t>
      </w:r>
      <w:r w:rsidR="000E7452">
        <w:rPr>
          <w:rFonts w:asciiTheme="majorHAnsi" w:hAnsiTheme="majorHAnsi" w:cstheme="majorHAnsi"/>
        </w:rPr>
        <w:t xml:space="preserve">general </w:t>
      </w:r>
      <w:r w:rsidR="00D9731C" w:rsidRPr="003F1668">
        <w:rPr>
          <w:rFonts w:asciiTheme="majorHAnsi" w:hAnsiTheme="majorHAnsi" w:cstheme="majorHAnsi"/>
        </w:rPr>
        <w:t>prohibition.</w:t>
      </w:r>
      <w:r w:rsidR="00D9731C">
        <w:rPr>
          <w:rFonts w:asciiTheme="majorHAnsi" w:hAnsiTheme="majorHAnsi" w:cstheme="majorHAnsi"/>
        </w:rPr>
        <w:t xml:space="preserve"> </w:t>
      </w:r>
      <w:r w:rsidR="00435D60" w:rsidRPr="003F1668">
        <w:rPr>
          <w:rFonts w:asciiTheme="majorHAnsi" w:hAnsiTheme="majorHAnsi" w:cstheme="majorHAnsi"/>
        </w:rPr>
        <w:t>The meeting discussed the U</w:t>
      </w:r>
      <w:r w:rsidR="00435D60">
        <w:rPr>
          <w:rFonts w:asciiTheme="majorHAnsi" w:hAnsiTheme="majorHAnsi" w:cstheme="majorHAnsi"/>
        </w:rPr>
        <w:t>nited Kingdom</w:t>
      </w:r>
      <w:r w:rsidR="00435D60" w:rsidRPr="003F1668">
        <w:rPr>
          <w:rFonts w:asciiTheme="majorHAnsi" w:hAnsiTheme="majorHAnsi" w:cstheme="majorHAnsi"/>
        </w:rPr>
        <w:t xml:space="preserve">’s intention to issue </w:t>
      </w:r>
      <w:r w:rsidR="000E7452">
        <w:rPr>
          <w:rFonts w:asciiTheme="majorHAnsi" w:hAnsiTheme="majorHAnsi" w:cstheme="majorHAnsi"/>
        </w:rPr>
        <w:t xml:space="preserve">a </w:t>
      </w:r>
      <w:r w:rsidR="00435D60" w:rsidRPr="003F1668">
        <w:rPr>
          <w:rFonts w:asciiTheme="majorHAnsi" w:hAnsiTheme="majorHAnsi" w:cstheme="majorHAnsi"/>
        </w:rPr>
        <w:t xml:space="preserve">derogation for leaving </w:t>
      </w:r>
      <w:r w:rsidR="00435D60" w:rsidRPr="003F1668">
        <w:rPr>
          <w:rFonts w:asciiTheme="majorHAnsi" w:hAnsiTheme="majorHAnsi" w:cstheme="majorHAnsi"/>
          <w:i/>
          <w:iCs/>
        </w:rPr>
        <w:t xml:space="preserve">in-situ </w:t>
      </w:r>
      <w:r w:rsidR="00435D60" w:rsidRPr="003F1668">
        <w:rPr>
          <w:rFonts w:asciiTheme="majorHAnsi" w:hAnsiTheme="majorHAnsi" w:cstheme="majorHAnsi"/>
        </w:rPr>
        <w:t xml:space="preserve">the footings of the </w:t>
      </w:r>
      <w:r w:rsidR="00435D60">
        <w:rPr>
          <w:rFonts w:asciiTheme="majorHAnsi" w:hAnsiTheme="majorHAnsi" w:cstheme="majorHAnsi"/>
        </w:rPr>
        <w:t>Brae Bravo</w:t>
      </w:r>
      <w:r w:rsidR="00435D60" w:rsidRPr="003F1668">
        <w:rPr>
          <w:rFonts w:asciiTheme="majorHAnsi" w:hAnsiTheme="majorHAnsi" w:cstheme="majorHAnsi"/>
        </w:rPr>
        <w:t xml:space="preserve"> Alpha Steel Jacket</w:t>
      </w:r>
      <w:r w:rsidR="00435D60">
        <w:rPr>
          <w:rFonts w:asciiTheme="majorHAnsi" w:hAnsiTheme="majorHAnsi" w:cstheme="majorHAnsi"/>
        </w:rPr>
        <w:t xml:space="preserve">, located </w:t>
      </w:r>
      <w:r w:rsidR="00435D60" w:rsidRPr="00FC4CC6">
        <w:rPr>
          <w:rFonts w:asciiTheme="majorHAnsi" w:hAnsiTheme="majorHAnsi" w:cstheme="majorHAnsi"/>
        </w:rPr>
        <w:t>270</w:t>
      </w:r>
      <w:r w:rsidR="00435D60">
        <w:rPr>
          <w:rFonts w:asciiTheme="majorHAnsi" w:hAnsiTheme="majorHAnsi" w:cstheme="majorHAnsi"/>
        </w:rPr>
        <w:t xml:space="preserve"> </w:t>
      </w:r>
      <w:r w:rsidR="00435D60" w:rsidRPr="00FC4CC6">
        <w:rPr>
          <w:rFonts w:asciiTheme="majorHAnsi" w:hAnsiTheme="majorHAnsi" w:cstheme="majorHAnsi"/>
        </w:rPr>
        <w:t>km north-east of Aberdeen</w:t>
      </w:r>
      <w:r w:rsidR="00435D60" w:rsidRPr="00435D60">
        <w:rPr>
          <w:rFonts w:asciiTheme="majorHAnsi" w:hAnsiTheme="majorHAnsi" w:cstheme="majorHAnsi"/>
        </w:rPr>
        <w:t xml:space="preserve"> </w:t>
      </w:r>
      <w:r w:rsidR="0074786B">
        <w:rPr>
          <w:rFonts w:asciiTheme="majorHAnsi" w:hAnsiTheme="majorHAnsi" w:cstheme="majorHAnsi"/>
        </w:rPr>
        <w:t xml:space="preserve">in </w:t>
      </w:r>
      <w:r w:rsidR="00435D60">
        <w:rPr>
          <w:rFonts w:asciiTheme="majorHAnsi" w:hAnsiTheme="majorHAnsi" w:cstheme="majorHAnsi"/>
        </w:rPr>
        <w:t>99 meters</w:t>
      </w:r>
      <w:r w:rsidR="0074786B">
        <w:rPr>
          <w:rFonts w:asciiTheme="majorHAnsi" w:hAnsiTheme="majorHAnsi" w:cstheme="majorHAnsi"/>
        </w:rPr>
        <w:t xml:space="preserve"> of water</w:t>
      </w:r>
      <w:r w:rsidR="00435D60" w:rsidRPr="003F1668">
        <w:rPr>
          <w:rFonts w:asciiTheme="majorHAnsi" w:hAnsiTheme="majorHAnsi" w:cstheme="majorHAnsi"/>
        </w:rPr>
        <w:t xml:space="preserve">. </w:t>
      </w:r>
      <w:bookmarkEnd w:id="0"/>
    </w:p>
    <w:p w14:paraId="001F4F79" w14:textId="30E7E94E" w:rsidR="0022099C" w:rsidRDefault="006D004F" w:rsidP="0022099C">
      <w:pPr>
        <w:spacing w:before="120" w:line="260" w:lineRule="atLeast"/>
        <w:jc w:val="both"/>
        <w:rPr>
          <w:rFonts w:asciiTheme="majorHAnsi" w:hAnsiTheme="majorHAnsi" w:cstheme="majorHAnsi"/>
        </w:rPr>
      </w:pPr>
      <w:r>
        <w:rPr>
          <w:rFonts w:asciiTheme="majorHAnsi" w:hAnsiTheme="majorHAnsi" w:cstheme="majorHAnsi"/>
        </w:rPr>
        <w:t>H</w:t>
      </w:r>
      <w:r w:rsidR="0022099C">
        <w:rPr>
          <w:rFonts w:asciiTheme="majorHAnsi" w:hAnsiTheme="majorHAnsi" w:cstheme="majorHAnsi"/>
        </w:rPr>
        <w:t xml:space="preserve">eld on the same day as the Ocean </w:t>
      </w:r>
      <w:r>
        <w:rPr>
          <w:rFonts w:asciiTheme="majorHAnsi" w:hAnsiTheme="majorHAnsi" w:cstheme="majorHAnsi"/>
        </w:rPr>
        <w:t xml:space="preserve">Action </w:t>
      </w:r>
      <w:r w:rsidR="0022099C">
        <w:rPr>
          <w:rFonts w:asciiTheme="majorHAnsi" w:hAnsiTheme="majorHAnsi" w:cstheme="majorHAnsi"/>
        </w:rPr>
        <w:t xml:space="preserve">Day at the </w:t>
      </w:r>
      <w:r w:rsidR="0022099C" w:rsidRPr="003144FA">
        <w:rPr>
          <w:rFonts w:asciiTheme="majorHAnsi" w:hAnsiTheme="majorHAnsi" w:cstheme="majorHAnsi"/>
        </w:rPr>
        <w:t>UN Climate Change Conference of the Parties (COP26)</w:t>
      </w:r>
      <w:r w:rsidR="0022099C">
        <w:rPr>
          <w:rFonts w:asciiTheme="majorHAnsi" w:hAnsiTheme="majorHAnsi" w:cstheme="majorHAnsi"/>
        </w:rPr>
        <w:t xml:space="preserve">, </w:t>
      </w:r>
      <w:r>
        <w:rPr>
          <w:rFonts w:asciiTheme="majorHAnsi" w:hAnsiTheme="majorHAnsi" w:cstheme="majorHAnsi"/>
        </w:rPr>
        <w:t xml:space="preserve">the </w:t>
      </w:r>
      <w:r w:rsidR="0022099C" w:rsidRPr="00211D3E">
        <w:rPr>
          <w:rFonts w:asciiTheme="majorHAnsi" w:hAnsiTheme="majorHAnsi" w:cstheme="majorHAnsi"/>
        </w:rPr>
        <w:t>meeting highlight</w:t>
      </w:r>
      <w:r>
        <w:rPr>
          <w:rFonts w:asciiTheme="majorHAnsi" w:hAnsiTheme="majorHAnsi" w:cstheme="majorHAnsi"/>
        </w:rPr>
        <w:t>ed</w:t>
      </w:r>
      <w:r w:rsidR="0022099C" w:rsidRPr="00211D3E">
        <w:rPr>
          <w:rFonts w:asciiTheme="majorHAnsi" w:hAnsiTheme="majorHAnsi" w:cstheme="majorHAnsi"/>
        </w:rPr>
        <w:t xml:space="preserve"> the value of constructive dialogue within the OSPAR framework to achieve a productive and sustainably used North-East Atlantic </w:t>
      </w:r>
      <w:r w:rsidR="00223E55">
        <w:rPr>
          <w:rFonts w:asciiTheme="majorHAnsi" w:hAnsiTheme="majorHAnsi" w:cstheme="majorHAnsi"/>
        </w:rPr>
        <w:t xml:space="preserve">while safeguarding </w:t>
      </w:r>
      <w:r w:rsidR="0022099C" w:rsidRPr="00211D3E">
        <w:rPr>
          <w:rFonts w:asciiTheme="majorHAnsi" w:hAnsiTheme="majorHAnsi" w:cstheme="majorHAnsi"/>
        </w:rPr>
        <w:t>the seabed and its marine ecosystems</w:t>
      </w:r>
      <w:r w:rsidR="0022099C">
        <w:rPr>
          <w:rFonts w:asciiTheme="majorHAnsi" w:hAnsiTheme="majorHAnsi" w:cstheme="majorHAnsi"/>
        </w:rPr>
        <w:t xml:space="preserve">. </w:t>
      </w:r>
    </w:p>
    <w:p w14:paraId="7FE50863" w14:textId="534CD1DA" w:rsidR="001F15DD" w:rsidRPr="001F15DD" w:rsidRDefault="00223E55" w:rsidP="00C67BC1">
      <w:pPr>
        <w:spacing w:before="120" w:line="260" w:lineRule="atLeast"/>
        <w:jc w:val="both"/>
        <w:rPr>
          <w:rFonts w:asciiTheme="majorHAnsi" w:hAnsiTheme="majorHAnsi" w:cstheme="majorHAnsi"/>
        </w:rPr>
      </w:pPr>
      <w:r>
        <w:rPr>
          <w:rFonts w:asciiTheme="majorHAnsi" w:hAnsiTheme="majorHAnsi" w:cstheme="majorHAnsi"/>
        </w:rPr>
        <w:t xml:space="preserve">An </w:t>
      </w:r>
      <w:r w:rsidR="00C67BC1">
        <w:rPr>
          <w:rFonts w:asciiTheme="majorHAnsi" w:hAnsiTheme="majorHAnsi" w:cstheme="majorHAnsi"/>
        </w:rPr>
        <w:t xml:space="preserve">assessment </w:t>
      </w:r>
      <w:r w:rsidR="00435D60">
        <w:rPr>
          <w:rFonts w:asciiTheme="majorHAnsi" w:hAnsiTheme="majorHAnsi" w:cstheme="majorHAnsi"/>
        </w:rPr>
        <w:t>undertaken</w:t>
      </w:r>
      <w:r w:rsidR="00C67BC1">
        <w:rPr>
          <w:rFonts w:asciiTheme="majorHAnsi" w:hAnsiTheme="majorHAnsi" w:cstheme="majorHAnsi"/>
        </w:rPr>
        <w:t xml:space="preserve"> by the</w:t>
      </w:r>
      <w:r w:rsidR="00C67BC1" w:rsidRPr="00FC4CC6">
        <w:rPr>
          <w:rFonts w:asciiTheme="majorHAnsi" w:hAnsiTheme="majorHAnsi" w:cstheme="majorHAnsi"/>
        </w:rPr>
        <w:t xml:space="preserve"> operator of the Brae fields</w:t>
      </w:r>
      <w:r w:rsidR="002F73E4">
        <w:rPr>
          <w:rFonts w:asciiTheme="majorHAnsi" w:hAnsiTheme="majorHAnsi" w:cstheme="majorHAnsi"/>
        </w:rPr>
        <w:t xml:space="preserve"> (TAQA)</w:t>
      </w:r>
      <w:r w:rsidR="000F1536">
        <w:rPr>
          <w:rFonts w:asciiTheme="majorHAnsi" w:hAnsiTheme="majorHAnsi" w:cstheme="majorHAnsi"/>
        </w:rPr>
        <w:t xml:space="preserve"> </w:t>
      </w:r>
      <w:r w:rsidR="00435D60">
        <w:rPr>
          <w:rFonts w:asciiTheme="majorHAnsi" w:hAnsiTheme="majorHAnsi" w:cstheme="majorHAnsi"/>
        </w:rPr>
        <w:t>concluded</w:t>
      </w:r>
      <w:r w:rsidR="00C67BC1">
        <w:rPr>
          <w:rFonts w:asciiTheme="majorHAnsi" w:hAnsiTheme="majorHAnsi" w:cstheme="majorHAnsi"/>
        </w:rPr>
        <w:t xml:space="preserve"> that</w:t>
      </w:r>
      <w:r w:rsidR="00C67BC1" w:rsidRPr="00FC4CC6">
        <w:rPr>
          <w:rFonts w:asciiTheme="majorHAnsi" w:hAnsiTheme="majorHAnsi" w:cstheme="majorHAnsi"/>
        </w:rPr>
        <w:t xml:space="preserve"> </w:t>
      </w:r>
      <w:r w:rsidR="00C67BC1">
        <w:rPr>
          <w:rFonts w:asciiTheme="majorHAnsi" w:hAnsiTheme="majorHAnsi" w:cstheme="majorHAnsi"/>
        </w:rPr>
        <w:t>re</w:t>
      </w:r>
      <w:r w:rsidR="00C67BC1" w:rsidRPr="00C67BC1">
        <w:rPr>
          <w:rFonts w:asciiTheme="majorHAnsi" w:hAnsiTheme="majorHAnsi" w:cstheme="majorHAnsi"/>
        </w:rPr>
        <w:t>-</w:t>
      </w:r>
      <w:r w:rsidR="00C67BC1">
        <w:rPr>
          <w:rFonts w:asciiTheme="majorHAnsi" w:hAnsiTheme="majorHAnsi" w:cstheme="majorHAnsi"/>
        </w:rPr>
        <w:t xml:space="preserve">using the installation </w:t>
      </w:r>
      <w:r w:rsidR="00FA2F30">
        <w:rPr>
          <w:rFonts w:asciiTheme="majorHAnsi" w:hAnsiTheme="majorHAnsi" w:cstheme="majorHAnsi"/>
        </w:rPr>
        <w:t>for</w:t>
      </w:r>
      <w:r w:rsidR="00C67BC1">
        <w:rPr>
          <w:rFonts w:asciiTheme="majorHAnsi" w:hAnsiTheme="majorHAnsi" w:cstheme="majorHAnsi"/>
        </w:rPr>
        <w:t xml:space="preserve"> hydrocarbon storage</w:t>
      </w:r>
      <w:r w:rsidR="000F1536">
        <w:rPr>
          <w:rFonts w:asciiTheme="majorHAnsi" w:hAnsiTheme="majorHAnsi" w:cstheme="majorHAnsi"/>
        </w:rPr>
        <w:t>, carbon dioxide s</w:t>
      </w:r>
      <w:r w:rsidR="00FA2F30">
        <w:rPr>
          <w:rFonts w:asciiTheme="majorHAnsi" w:hAnsiTheme="majorHAnsi" w:cstheme="majorHAnsi"/>
        </w:rPr>
        <w:t>equestration</w:t>
      </w:r>
      <w:r w:rsidR="000F1536">
        <w:rPr>
          <w:rFonts w:asciiTheme="majorHAnsi" w:hAnsiTheme="majorHAnsi" w:cstheme="majorHAnsi"/>
        </w:rPr>
        <w:t xml:space="preserve"> or</w:t>
      </w:r>
      <w:r w:rsidR="00C67BC1">
        <w:rPr>
          <w:rFonts w:asciiTheme="majorHAnsi" w:hAnsiTheme="majorHAnsi" w:cstheme="majorHAnsi"/>
        </w:rPr>
        <w:t xml:space="preserve"> renewable energy generation was not </w:t>
      </w:r>
      <w:r w:rsidR="00C67BC1" w:rsidRPr="00FC4CC6">
        <w:rPr>
          <w:rFonts w:asciiTheme="majorHAnsi" w:hAnsiTheme="majorHAnsi" w:cstheme="majorHAnsi"/>
        </w:rPr>
        <w:t xml:space="preserve">possible due to </w:t>
      </w:r>
      <w:r w:rsidR="00C67BC1">
        <w:rPr>
          <w:rFonts w:asciiTheme="majorHAnsi" w:hAnsiTheme="majorHAnsi" w:cstheme="majorHAnsi"/>
        </w:rPr>
        <w:t>its</w:t>
      </w:r>
      <w:r w:rsidR="00C67BC1" w:rsidRPr="00FC4CC6">
        <w:rPr>
          <w:rFonts w:asciiTheme="majorHAnsi" w:hAnsiTheme="majorHAnsi" w:cstheme="majorHAnsi"/>
        </w:rPr>
        <w:t xml:space="preserve"> age, unsuitability, and distance from shore.</w:t>
      </w:r>
      <w:r w:rsidR="00C67BC1">
        <w:rPr>
          <w:rFonts w:asciiTheme="majorHAnsi" w:hAnsiTheme="majorHAnsi" w:cstheme="majorHAnsi"/>
        </w:rPr>
        <w:t xml:space="preserve"> </w:t>
      </w:r>
      <w:r w:rsidR="000F1536">
        <w:rPr>
          <w:rFonts w:asciiTheme="majorHAnsi" w:hAnsiTheme="majorHAnsi" w:cstheme="majorHAnsi"/>
        </w:rPr>
        <w:t>C</w:t>
      </w:r>
      <w:r w:rsidR="00C67BC1">
        <w:rPr>
          <w:rFonts w:asciiTheme="majorHAnsi" w:hAnsiTheme="majorHAnsi" w:cstheme="majorHAnsi"/>
        </w:rPr>
        <w:t>omplete</w:t>
      </w:r>
      <w:r w:rsidR="002639CF" w:rsidRPr="00FC4CC6">
        <w:rPr>
          <w:rFonts w:asciiTheme="majorHAnsi" w:hAnsiTheme="majorHAnsi" w:cstheme="majorHAnsi"/>
        </w:rPr>
        <w:t xml:space="preserve"> removal of </w:t>
      </w:r>
      <w:r w:rsidR="00060359">
        <w:rPr>
          <w:rFonts w:asciiTheme="majorHAnsi" w:hAnsiTheme="majorHAnsi" w:cstheme="majorHAnsi"/>
        </w:rPr>
        <w:t>the</w:t>
      </w:r>
      <w:r w:rsidR="00FC4CC6" w:rsidRPr="00FC4CC6">
        <w:rPr>
          <w:rFonts w:asciiTheme="majorHAnsi" w:hAnsiTheme="majorHAnsi" w:cstheme="majorHAnsi"/>
        </w:rPr>
        <w:t xml:space="preserve"> substructure </w:t>
      </w:r>
      <w:r w:rsidR="00C67BC1">
        <w:rPr>
          <w:rFonts w:asciiTheme="majorHAnsi" w:hAnsiTheme="majorHAnsi" w:cstheme="majorHAnsi"/>
        </w:rPr>
        <w:t xml:space="preserve">with </w:t>
      </w:r>
      <w:r w:rsidR="00FC4CC6" w:rsidRPr="00FC4CC6">
        <w:rPr>
          <w:rFonts w:asciiTheme="majorHAnsi" w:hAnsiTheme="majorHAnsi" w:cstheme="majorHAnsi"/>
        </w:rPr>
        <w:t xml:space="preserve">cutting </w:t>
      </w:r>
      <w:r w:rsidR="00C67BC1">
        <w:rPr>
          <w:rFonts w:asciiTheme="majorHAnsi" w:hAnsiTheme="majorHAnsi" w:cstheme="majorHAnsi"/>
        </w:rPr>
        <w:t>of</w:t>
      </w:r>
      <w:r w:rsidR="00FC4CC6" w:rsidRPr="00FC4CC6">
        <w:rPr>
          <w:rFonts w:asciiTheme="majorHAnsi" w:hAnsiTheme="majorHAnsi" w:cstheme="majorHAnsi"/>
        </w:rPr>
        <w:t xml:space="preserve"> piles 3 meters below seabed </w:t>
      </w:r>
      <w:r w:rsidR="002639CF" w:rsidRPr="00FC4CC6">
        <w:rPr>
          <w:rFonts w:asciiTheme="majorHAnsi" w:hAnsiTheme="majorHAnsi" w:cstheme="majorHAnsi"/>
        </w:rPr>
        <w:t>was</w:t>
      </w:r>
      <w:r w:rsidR="00847A38">
        <w:rPr>
          <w:rFonts w:asciiTheme="majorHAnsi" w:hAnsiTheme="majorHAnsi" w:cstheme="majorHAnsi"/>
        </w:rPr>
        <w:t xml:space="preserve"> </w:t>
      </w:r>
      <w:r w:rsidR="00FC4CC6" w:rsidRPr="00FC4CC6">
        <w:rPr>
          <w:rFonts w:asciiTheme="majorHAnsi" w:hAnsiTheme="majorHAnsi" w:cstheme="majorHAnsi"/>
        </w:rPr>
        <w:t xml:space="preserve">considered </w:t>
      </w:r>
      <w:r w:rsidR="00FA2F30">
        <w:rPr>
          <w:rFonts w:asciiTheme="majorHAnsi" w:hAnsiTheme="majorHAnsi" w:cstheme="majorHAnsi"/>
        </w:rPr>
        <w:t xml:space="preserve">to </w:t>
      </w:r>
      <w:r w:rsidR="002F73E4">
        <w:rPr>
          <w:rFonts w:asciiTheme="majorHAnsi" w:hAnsiTheme="majorHAnsi" w:cstheme="majorHAnsi"/>
        </w:rPr>
        <w:t xml:space="preserve">pose unacceptable </w:t>
      </w:r>
      <w:r w:rsidR="00FA2F30">
        <w:rPr>
          <w:rFonts w:asciiTheme="majorHAnsi" w:hAnsiTheme="majorHAnsi" w:cstheme="majorHAnsi"/>
        </w:rPr>
        <w:t xml:space="preserve">safety risks and </w:t>
      </w:r>
      <w:r w:rsidR="002F73E4">
        <w:rPr>
          <w:rFonts w:asciiTheme="majorHAnsi" w:hAnsiTheme="majorHAnsi" w:cstheme="majorHAnsi"/>
        </w:rPr>
        <w:t xml:space="preserve">to be </w:t>
      </w:r>
      <w:r w:rsidR="002639CF" w:rsidRPr="00FC4CC6">
        <w:rPr>
          <w:rFonts w:asciiTheme="majorHAnsi" w:hAnsiTheme="majorHAnsi" w:cstheme="majorHAnsi"/>
        </w:rPr>
        <w:t xml:space="preserve">technically </w:t>
      </w:r>
      <w:r w:rsidR="002F73E4">
        <w:rPr>
          <w:rFonts w:asciiTheme="majorHAnsi" w:hAnsiTheme="majorHAnsi" w:cstheme="majorHAnsi"/>
        </w:rPr>
        <w:t>un</w:t>
      </w:r>
      <w:r w:rsidR="002639CF" w:rsidRPr="00FC4CC6">
        <w:rPr>
          <w:rFonts w:asciiTheme="majorHAnsi" w:hAnsiTheme="majorHAnsi" w:cstheme="majorHAnsi"/>
        </w:rPr>
        <w:t>feasible</w:t>
      </w:r>
      <w:r w:rsidR="00CA1F46">
        <w:rPr>
          <w:rFonts w:asciiTheme="majorHAnsi" w:hAnsiTheme="majorHAnsi" w:cstheme="majorHAnsi"/>
        </w:rPr>
        <w:t xml:space="preserve">. </w:t>
      </w:r>
      <w:r w:rsidR="0037204F">
        <w:rPr>
          <w:rFonts w:asciiTheme="majorHAnsi" w:hAnsiTheme="majorHAnsi" w:cstheme="majorHAnsi"/>
        </w:rPr>
        <w:t>The</w:t>
      </w:r>
      <w:r w:rsidR="002F73E4">
        <w:rPr>
          <w:rFonts w:asciiTheme="majorHAnsi" w:hAnsiTheme="majorHAnsi" w:cstheme="majorHAnsi"/>
        </w:rPr>
        <w:t xml:space="preserve">ir </w:t>
      </w:r>
      <w:r w:rsidR="0037204F">
        <w:rPr>
          <w:rFonts w:asciiTheme="majorHAnsi" w:hAnsiTheme="majorHAnsi" w:cstheme="majorHAnsi"/>
        </w:rPr>
        <w:t>evaluation concluded that the p</w:t>
      </w:r>
      <w:r w:rsidR="00CA1F46">
        <w:rPr>
          <w:rFonts w:asciiTheme="majorHAnsi" w:hAnsiTheme="majorHAnsi" w:cstheme="majorHAnsi"/>
        </w:rPr>
        <w:t>artial removal</w:t>
      </w:r>
      <w:r w:rsidR="00C03688">
        <w:rPr>
          <w:rFonts w:asciiTheme="majorHAnsi" w:hAnsiTheme="majorHAnsi" w:cstheme="majorHAnsi"/>
        </w:rPr>
        <w:t xml:space="preserve"> of the jacket</w:t>
      </w:r>
      <w:r w:rsidR="0037204F">
        <w:rPr>
          <w:rFonts w:asciiTheme="majorHAnsi" w:hAnsiTheme="majorHAnsi" w:cstheme="majorHAnsi"/>
        </w:rPr>
        <w:t xml:space="preserve"> </w:t>
      </w:r>
      <w:r w:rsidR="00847A38">
        <w:rPr>
          <w:rFonts w:asciiTheme="majorHAnsi" w:hAnsiTheme="majorHAnsi" w:cstheme="majorHAnsi"/>
        </w:rPr>
        <w:t xml:space="preserve">was </w:t>
      </w:r>
      <w:r w:rsidR="0037204F">
        <w:rPr>
          <w:rFonts w:asciiTheme="majorHAnsi" w:hAnsiTheme="majorHAnsi" w:cstheme="majorHAnsi"/>
        </w:rPr>
        <w:t>the only practicable alternative</w:t>
      </w:r>
      <w:r w:rsidR="001F15DD">
        <w:rPr>
          <w:rFonts w:asciiTheme="majorHAnsi" w:hAnsiTheme="majorHAnsi" w:cstheme="majorHAnsi"/>
        </w:rPr>
        <w:t xml:space="preserve">: the </w:t>
      </w:r>
      <w:r w:rsidR="00FC4CC6" w:rsidRPr="00FC4CC6">
        <w:rPr>
          <w:rFonts w:asciiTheme="majorHAnsi" w:hAnsiTheme="majorHAnsi" w:cstheme="majorHAnsi"/>
        </w:rPr>
        <w:t xml:space="preserve">footings </w:t>
      </w:r>
      <w:r w:rsidR="001F15DD">
        <w:rPr>
          <w:rFonts w:asciiTheme="majorHAnsi" w:hAnsiTheme="majorHAnsi" w:cstheme="majorHAnsi"/>
        </w:rPr>
        <w:t xml:space="preserve">would be left in place </w:t>
      </w:r>
      <w:r w:rsidR="0074786B">
        <w:rPr>
          <w:rFonts w:asciiTheme="majorHAnsi" w:hAnsiTheme="majorHAnsi" w:cstheme="majorHAnsi"/>
        </w:rPr>
        <w:t xml:space="preserve">approximately </w:t>
      </w:r>
      <w:r w:rsidR="001F15DD">
        <w:rPr>
          <w:rFonts w:asciiTheme="majorHAnsi" w:hAnsiTheme="majorHAnsi" w:cstheme="majorHAnsi"/>
        </w:rPr>
        <w:t>3</w:t>
      </w:r>
      <w:r w:rsidR="0074786B">
        <w:rPr>
          <w:rFonts w:asciiTheme="majorHAnsi" w:hAnsiTheme="majorHAnsi" w:cstheme="majorHAnsi"/>
        </w:rPr>
        <w:t>5</w:t>
      </w:r>
      <w:r w:rsidR="001F15DD">
        <w:rPr>
          <w:rFonts w:asciiTheme="majorHAnsi" w:hAnsiTheme="majorHAnsi" w:cstheme="majorHAnsi"/>
        </w:rPr>
        <w:t xml:space="preserve"> meters above the seabed and subject to periodic survey </w:t>
      </w:r>
      <w:r w:rsidR="001F15DD" w:rsidRPr="001F15DD">
        <w:rPr>
          <w:rFonts w:asciiTheme="majorHAnsi" w:hAnsiTheme="majorHAnsi" w:cstheme="majorHAnsi"/>
        </w:rPr>
        <w:t>and monitoring.</w:t>
      </w:r>
      <w:r w:rsidR="002F73E4">
        <w:rPr>
          <w:rFonts w:asciiTheme="majorHAnsi" w:hAnsiTheme="majorHAnsi" w:cstheme="majorHAnsi"/>
        </w:rPr>
        <w:t xml:space="preserve"> The United Kingdom made clear that if the technology improved, the operator would be asked to review their assessment. </w:t>
      </w:r>
    </w:p>
    <w:p w14:paraId="1CFCBA72" w14:textId="063F093E" w:rsidR="001F15DD" w:rsidRPr="001F15DD" w:rsidRDefault="00223E55" w:rsidP="001F15DD">
      <w:pPr>
        <w:spacing w:before="120" w:line="260" w:lineRule="atLeast"/>
        <w:jc w:val="both"/>
        <w:rPr>
          <w:rFonts w:asciiTheme="majorHAnsi" w:hAnsiTheme="majorHAnsi" w:cstheme="majorHAnsi"/>
        </w:rPr>
      </w:pPr>
      <w:r>
        <w:rPr>
          <w:rFonts w:asciiTheme="majorHAnsi" w:hAnsiTheme="majorHAnsi" w:cstheme="majorHAnsi"/>
        </w:rPr>
        <w:t>U</w:t>
      </w:r>
      <w:r w:rsidR="001F15DD" w:rsidRPr="001F15DD">
        <w:rPr>
          <w:rFonts w:asciiTheme="majorHAnsi" w:hAnsiTheme="majorHAnsi" w:cstheme="majorHAnsi"/>
        </w:rPr>
        <w:t>nder the consultation procedure set out by the Decision, Belgium, the European Union, Germany, the Netherlands, Spain</w:t>
      </w:r>
      <w:r w:rsidR="00211D3E">
        <w:rPr>
          <w:rFonts w:asciiTheme="majorHAnsi" w:hAnsiTheme="majorHAnsi" w:cstheme="majorHAnsi"/>
        </w:rPr>
        <w:t>,</w:t>
      </w:r>
      <w:r w:rsidR="001F15DD" w:rsidRPr="001F15DD">
        <w:rPr>
          <w:rFonts w:asciiTheme="majorHAnsi" w:hAnsiTheme="majorHAnsi" w:cstheme="majorHAnsi"/>
        </w:rPr>
        <w:t xml:space="preserve"> and Sweden raised concerns </w:t>
      </w:r>
      <w:r>
        <w:rPr>
          <w:rFonts w:asciiTheme="majorHAnsi" w:hAnsiTheme="majorHAnsi" w:cstheme="majorHAnsi"/>
        </w:rPr>
        <w:t xml:space="preserve">with </w:t>
      </w:r>
      <w:r w:rsidR="001F15DD" w:rsidRPr="001F15DD">
        <w:rPr>
          <w:rFonts w:asciiTheme="majorHAnsi" w:hAnsiTheme="majorHAnsi" w:cstheme="majorHAnsi"/>
        </w:rPr>
        <w:t xml:space="preserve">the issuing of the </w:t>
      </w:r>
      <w:r>
        <w:rPr>
          <w:rFonts w:asciiTheme="majorHAnsi" w:hAnsiTheme="majorHAnsi" w:cstheme="majorHAnsi"/>
        </w:rPr>
        <w:t xml:space="preserve">derogation </w:t>
      </w:r>
      <w:r w:rsidR="001F15DD" w:rsidRPr="001F15DD">
        <w:rPr>
          <w:rFonts w:asciiTheme="majorHAnsi" w:hAnsiTheme="majorHAnsi" w:cstheme="majorHAnsi"/>
        </w:rPr>
        <w:t xml:space="preserve">permit. The United Kingdom provided </w:t>
      </w:r>
      <w:r w:rsidR="005F2A1E">
        <w:rPr>
          <w:rFonts w:asciiTheme="majorHAnsi" w:hAnsiTheme="majorHAnsi" w:cstheme="majorHAnsi"/>
        </w:rPr>
        <w:t xml:space="preserve">responses </w:t>
      </w:r>
      <w:r w:rsidR="001F15DD" w:rsidRPr="001F15DD">
        <w:rPr>
          <w:rFonts w:asciiTheme="majorHAnsi" w:hAnsiTheme="majorHAnsi" w:cstheme="majorHAnsi"/>
        </w:rPr>
        <w:t xml:space="preserve">to the comments and objections received on the comparative assessment methodology used, the lack of technological development for a complete removal, the management of the well conductors and the monitoring programme. </w:t>
      </w:r>
      <w:r w:rsidR="0074786B">
        <w:rPr>
          <w:rFonts w:asciiTheme="majorHAnsi" w:hAnsiTheme="majorHAnsi" w:cstheme="majorHAnsi"/>
        </w:rPr>
        <w:t xml:space="preserve">The </w:t>
      </w:r>
      <w:r w:rsidR="001F15DD" w:rsidRPr="001F15DD">
        <w:rPr>
          <w:rFonts w:asciiTheme="majorHAnsi" w:hAnsiTheme="majorHAnsi" w:cstheme="majorHAnsi"/>
        </w:rPr>
        <w:t>special consultative meeting was requested in accordance with Annex 3 of the Decision to further discuss</w:t>
      </w:r>
      <w:r w:rsidR="00FA2F30">
        <w:rPr>
          <w:rFonts w:asciiTheme="majorHAnsi" w:hAnsiTheme="majorHAnsi" w:cstheme="majorHAnsi"/>
        </w:rPr>
        <w:t xml:space="preserve"> the unresolved issues</w:t>
      </w:r>
      <w:r w:rsidR="001F15DD" w:rsidRPr="001F15DD">
        <w:rPr>
          <w:rFonts w:asciiTheme="majorHAnsi" w:hAnsiTheme="majorHAnsi" w:cstheme="majorHAnsi"/>
        </w:rPr>
        <w:t xml:space="preserve">. At the meeting </w:t>
      </w:r>
      <w:r w:rsidR="00F96DB5" w:rsidRPr="001F15DD">
        <w:rPr>
          <w:rFonts w:asciiTheme="majorHAnsi" w:hAnsiTheme="majorHAnsi" w:cstheme="majorHAnsi"/>
        </w:rPr>
        <w:t>Greenpeace</w:t>
      </w:r>
      <w:r w:rsidR="0098376D">
        <w:rPr>
          <w:rFonts w:asciiTheme="majorHAnsi" w:hAnsiTheme="majorHAnsi" w:cstheme="majorHAnsi"/>
        </w:rPr>
        <w:t xml:space="preserve"> International</w:t>
      </w:r>
      <w:r w:rsidR="004220EB">
        <w:rPr>
          <w:rFonts w:asciiTheme="majorHAnsi" w:hAnsiTheme="majorHAnsi" w:cstheme="majorHAnsi"/>
        </w:rPr>
        <w:t xml:space="preserve">, observer to </w:t>
      </w:r>
      <w:r w:rsidR="0098376D">
        <w:rPr>
          <w:rFonts w:asciiTheme="majorHAnsi" w:hAnsiTheme="majorHAnsi" w:cstheme="majorHAnsi"/>
        </w:rPr>
        <w:t>OSPAR</w:t>
      </w:r>
      <w:r w:rsidR="0022099C">
        <w:rPr>
          <w:rFonts w:asciiTheme="majorHAnsi" w:hAnsiTheme="majorHAnsi" w:cstheme="majorHAnsi"/>
        </w:rPr>
        <w:t>,</w:t>
      </w:r>
      <w:r w:rsidR="00F96DB5">
        <w:rPr>
          <w:rFonts w:asciiTheme="majorHAnsi" w:hAnsiTheme="majorHAnsi" w:cstheme="majorHAnsi"/>
        </w:rPr>
        <w:t xml:space="preserve"> stated </w:t>
      </w:r>
      <w:r w:rsidR="0098376D">
        <w:rPr>
          <w:rFonts w:asciiTheme="majorHAnsi" w:hAnsiTheme="majorHAnsi" w:cstheme="majorHAnsi"/>
        </w:rPr>
        <w:t>its</w:t>
      </w:r>
      <w:r w:rsidR="00F96DB5">
        <w:rPr>
          <w:rFonts w:asciiTheme="majorHAnsi" w:hAnsiTheme="majorHAnsi" w:cstheme="majorHAnsi"/>
        </w:rPr>
        <w:t xml:space="preserve"> support for </w:t>
      </w:r>
      <w:r w:rsidR="001F15DD" w:rsidRPr="001F15DD">
        <w:rPr>
          <w:rFonts w:asciiTheme="majorHAnsi" w:hAnsiTheme="majorHAnsi" w:cstheme="majorHAnsi"/>
        </w:rPr>
        <w:t>the</w:t>
      </w:r>
      <w:r w:rsidR="00F96DB5">
        <w:rPr>
          <w:rFonts w:asciiTheme="majorHAnsi" w:hAnsiTheme="majorHAnsi" w:cstheme="majorHAnsi"/>
        </w:rPr>
        <w:t xml:space="preserve"> complete</w:t>
      </w:r>
      <w:r w:rsidR="001F15DD" w:rsidRPr="001F15DD">
        <w:rPr>
          <w:rFonts w:asciiTheme="majorHAnsi" w:hAnsiTheme="majorHAnsi" w:cstheme="majorHAnsi"/>
        </w:rPr>
        <w:t xml:space="preserve"> removal of the structure</w:t>
      </w:r>
      <w:r w:rsidR="00F96DB5">
        <w:rPr>
          <w:rFonts w:asciiTheme="majorHAnsi" w:hAnsiTheme="majorHAnsi" w:cstheme="majorHAnsi"/>
        </w:rPr>
        <w:t>.</w:t>
      </w:r>
      <w:r w:rsidR="001F15DD" w:rsidRPr="001F15DD">
        <w:rPr>
          <w:rFonts w:asciiTheme="majorHAnsi" w:hAnsiTheme="majorHAnsi" w:cstheme="majorHAnsi"/>
        </w:rPr>
        <w:t xml:space="preserve"> </w:t>
      </w:r>
    </w:p>
    <w:p w14:paraId="10D32EF2" w14:textId="2997944D" w:rsidR="00F533C5" w:rsidRDefault="003013B8" w:rsidP="00211D3E">
      <w:pPr>
        <w:spacing w:before="120" w:line="260" w:lineRule="atLeast"/>
        <w:jc w:val="both"/>
        <w:rPr>
          <w:rFonts w:asciiTheme="majorHAnsi" w:hAnsiTheme="majorHAnsi" w:cstheme="majorHAnsi"/>
        </w:rPr>
      </w:pPr>
      <w:r>
        <w:rPr>
          <w:rFonts w:asciiTheme="majorHAnsi" w:hAnsiTheme="majorHAnsi" w:cstheme="majorHAnsi"/>
        </w:rPr>
        <w:t>The Chair of OSPAR</w:t>
      </w:r>
      <w:r w:rsidR="0074786B">
        <w:rPr>
          <w:rFonts w:asciiTheme="majorHAnsi" w:hAnsiTheme="majorHAnsi" w:cstheme="majorHAnsi"/>
        </w:rPr>
        <w:t>, Richard Cronin,</w:t>
      </w:r>
      <w:r>
        <w:rPr>
          <w:rFonts w:asciiTheme="majorHAnsi" w:hAnsiTheme="majorHAnsi" w:cstheme="majorHAnsi"/>
        </w:rPr>
        <w:t xml:space="preserve"> recalled the </w:t>
      </w:r>
      <w:hyperlink r:id="rId10" w:history="1">
        <w:r w:rsidR="004940AF" w:rsidRPr="007B5CC2">
          <w:rPr>
            <w:rStyle w:val="Hyperlink"/>
            <w:rFonts w:asciiTheme="majorHAnsi" w:hAnsiTheme="majorHAnsi" w:cstheme="majorHAnsi"/>
          </w:rPr>
          <w:t>North-East Atlantic Environment Strategy (NEAES) 2030</w:t>
        </w:r>
      </w:hyperlink>
      <w:r w:rsidR="004940AF">
        <w:rPr>
          <w:rFonts w:asciiTheme="majorHAnsi" w:hAnsiTheme="majorHAnsi" w:cstheme="majorHAnsi"/>
        </w:rPr>
        <w:t xml:space="preserve"> adopted by Ministers on 1 October 2021, </w:t>
      </w:r>
      <w:r>
        <w:rPr>
          <w:rFonts w:asciiTheme="majorHAnsi" w:hAnsiTheme="majorHAnsi" w:cstheme="majorHAnsi"/>
        </w:rPr>
        <w:t xml:space="preserve">which provided the political mandate for OSPAR to take action on this important issue. He concluded that </w:t>
      </w:r>
      <w:r w:rsidRPr="004940AF">
        <w:rPr>
          <w:rFonts w:asciiTheme="majorHAnsi" w:hAnsiTheme="majorHAnsi" w:cstheme="majorHAnsi"/>
        </w:rPr>
        <w:t xml:space="preserve">OSPAR </w:t>
      </w:r>
      <w:r>
        <w:rPr>
          <w:rFonts w:asciiTheme="majorHAnsi" w:hAnsiTheme="majorHAnsi" w:cstheme="majorHAnsi"/>
        </w:rPr>
        <w:t xml:space="preserve">needed to </w:t>
      </w:r>
      <w:r w:rsidRPr="004940AF">
        <w:rPr>
          <w:rFonts w:asciiTheme="majorHAnsi" w:hAnsiTheme="majorHAnsi" w:cstheme="majorHAnsi"/>
        </w:rPr>
        <w:t xml:space="preserve">agree </w:t>
      </w:r>
      <w:r w:rsidR="0074786B">
        <w:rPr>
          <w:rFonts w:asciiTheme="majorHAnsi" w:hAnsiTheme="majorHAnsi" w:cstheme="majorHAnsi"/>
        </w:rPr>
        <w:t xml:space="preserve">in a timely fashion </w:t>
      </w:r>
      <w:r w:rsidR="00492BCD">
        <w:rPr>
          <w:rFonts w:asciiTheme="majorHAnsi" w:hAnsiTheme="majorHAnsi" w:cstheme="majorHAnsi"/>
        </w:rPr>
        <w:t xml:space="preserve">on </w:t>
      </w:r>
      <w:r>
        <w:rPr>
          <w:rFonts w:asciiTheme="majorHAnsi" w:hAnsiTheme="majorHAnsi" w:cstheme="majorHAnsi"/>
        </w:rPr>
        <w:t xml:space="preserve">a harmonised approach </w:t>
      </w:r>
      <w:r w:rsidR="00492BCD">
        <w:rPr>
          <w:rFonts w:asciiTheme="majorHAnsi" w:hAnsiTheme="majorHAnsi" w:cstheme="majorHAnsi"/>
        </w:rPr>
        <w:t xml:space="preserve">for the comparative assessment methodology, to promote the advancement of decommissioning technologies, to improve transparency on monitoring requirements and </w:t>
      </w:r>
      <w:r w:rsidR="00F533C5">
        <w:rPr>
          <w:rFonts w:asciiTheme="majorHAnsi" w:hAnsiTheme="majorHAnsi" w:cstheme="majorHAnsi"/>
        </w:rPr>
        <w:t>to develop a shared understanding of the UK permitting process.</w:t>
      </w:r>
    </w:p>
    <w:p w14:paraId="0520E656" w14:textId="4F112AF3" w:rsidR="00F96DB5" w:rsidRDefault="00F96DB5" w:rsidP="00211D3E">
      <w:pPr>
        <w:spacing w:before="120" w:line="260" w:lineRule="atLeast"/>
        <w:jc w:val="both"/>
        <w:rPr>
          <w:rFonts w:asciiTheme="majorHAnsi" w:hAnsiTheme="majorHAnsi" w:cstheme="majorHAnsi"/>
        </w:rPr>
      </w:pPr>
    </w:p>
    <w:p w14:paraId="6EF7AAEF" w14:textId="44FABCC4" w:rsidR="00034FE4" w:rsidRPr="003F1668" w:rsidRDefault="00F97CFE" w:rsidP="00D569B9">
      <w:pPr>
        <w:spacing w:before="120" w:line="260" w:lineRule="atLeast"/>
        <w:jc w:val="both"/>
        <w:rPr>
          <w:rFonts w:asciiTheme="majorHAnsi" w:hAnsiTheme="majorHAnsi" w:cstheme="majorHAnsi"/>
          <w:sz w:val="22"/>
          <w:szCs w:val="22"/>
        </w:rPr>
      </w:pPr>
      <w:r w:rsidRPr="003F1668">
        <w:rPr>
          <w:rFonts w:asciiTheme="majorHAnsi" w:hAnsiTheme="majorHAnsi" w:cstheme="majorHAnsi"/>
          <w:sz w:val="22"/>
          <w:szCs w:val="22"/>
        </w:rPr>
        <w:t>ENDS</w:t>
      </w:r>
    </w:p>
    <w:p w14:paraId="2E6583AB" w14:textId="77777777" w:rsidR="0077750F" w:rsidRPr="003F1668" w:rsidRDefault="0077750F" w:rsidP="0077750F">
      <w:pPr>
        <w:pStyle w:val="Heading3"/>
        <w:rPr>
          <w:rFonts w:asciiTheme="majorHAnsi" w:hAnsiTheme="majorHAnsi" w:cstheme="majorHAnsi"/>
          <w:color w:val="auto"/>
          <w:sz w:val="22"/>
          <w:szCs w:val="22"/>
        </w:rPr>
      </w:pPr>
      <w:r w:rsidRPr="003F1668">
        <w:rPr>
          <w:rFonts w:asciiTheme="majorHAnsi" w:hAnsiTheme="majorHAnsi" w:cstheme="majorHAnsi"/>
          <w:color w:val="auto"/>
          <w:sz w:val="22"/>
          <w:szCs w:val="22"/>
        </w:rPr>
        <w:lastRenderedPageBreak/>
        <w:t>Note for editors</w:t>
      </w:r>
    </w:p>
    <w:p w14:paraId="47FD1C86" w14:textId="07DDAC61" w:rsidR="0077750F" w:rsidRPr="0022099C" w:rsidRDefault="00957B33" w:rsidP="0022099C">
      <w:pPr>
        <w:pStyle w:val="ListParagraph"/>
        <w:numPr>
          <w:ilvl w:val="0"/>
          <w:numId w:val="23"/>
        </w:numPr>
        <w:tabs>
          <w:tab w:val="clear" w:pos="357"/>
          <w:tab w:val="left" w:pos="426"/>
        </w:tabs>
        <w:spacing w:before="120" w:after="120"/>
        <w:ind w:left="425" w:hanging="425"/>
        <w:contextualSpacing w:val="0"/>
        <w:jc w:val="both"/>
        <w:rPr>
          <w:rFonts w:asciiTheme="majorHAnsi" w:hAnsiTheme="majorHAnsi" w:cstheme="majorHAnsi"/>
        </w:rPr>
      </w:pPr>
      <w:hyperlink r:id="rId11" w:history="1">
        <w:r w:rsidR="0077750F" w:rsidRPr="0022099C">
          <w:rPr>
            <w:rFonts w:asciiTheme="majorHAnsi" w:hAnsiTheme="majorHAnsi" w:cstheme="majorHAnsi"/>
          </w:rPr>
          <w:t>The OSPAR Commission</w:t>
        </w:r>
      </w:hyperlink>
      <w:r w:rsidR="0077750F" w:rsidRPr="0022099C">
        <w:rPr>
          <w:rFonts w:asciiTheme="majorHAnsi" w:hAnsiTheme="majorHAnsi" w:cstheme="majorHAnsi"/>
        </w:rPr>
        <w:t xml:space="preserve"> was set up by the 1992 OSPAR Convention for the Protection of the Marine Environment of the North-East Atlantic, which unified and updated the 1972 Oslo and 1974 Paris Conventions. It brings together the governments of Belgium, Denmark, Finland, France, Germany, Iceland, Ireland, Luxembourg, the Netherlands, Norway, Portugal, Spain, Sweden, </w:t>
      </w:r>
      <w:proofErr w:type="gramStart"/>
      <w:r w:rsidR="0077750F" w:rsidRPr="0022099C">
        <w:rPr>
          <w:rFonts w:asciiTheme="majorHAnsi" w:hAnsiTheme="majorHAnsi" w:cstheme="majorHAnsi"/>
        </w:rPr>
        <w:t>Switzerland</w:t>
      </w:r>
      <w:proofErr w:type="gramEnd"/>
      <w:r w:rsidR="0077750F" w:rsidRPr="0022099C">
        <w:rPr>
          <w:rFonts w:asciiTheme="majorHAnsi" w:hAnsiTheme="majorHAnsi" w:cstheme="majorHAnsi"/>
        </w:rPr>
        <w:t xml:space="preserve"> and the United Kingdom, together with the European Community.</w:t>
      </w:r>
      <w:r w:rsidR="004F6987" w:rsidRPr="0022099C">
        <w:rPr>
          <w:rFonts w:asciiTheme="majorHAnsi" w:hAnsiTheme="majorHAnsi" w:cstheme="majorHAnsi"/>
        </w:rPr>
        <w:t xml:space="preserve"> </w:t>
      </w:r>
      <w:r w:rsidR="00A433B9" w:rsidRPr="0022099C">
        <w:rPr>
          <w:rFonts w:asciiTheme="majorHAnsi" w:hAnsiTheme="majorHAnsi" w:cstheme="majorHAnsi"/>
        </w:rPr>
        <w:t xml:space="preserve">Belgium, Denmark, The European Commission, Germany, The Netherlands, Norway, </w:t>
      </w:r>
      <w:r w:rsidR="0022099C" w:rsidRPr="0022099C">
        <w:rPr>
          <w:rFonts w:asciiTheme="majorHAnsi" w:hAnsiTheme="majorHAnsi" w:cstheme="majorHAnsi"/>
        </w:rPr>
        <w:t xml:space="preserve">Spain, </w:t>
      </w:r>
      <w:proofErr w:type="gramStart"/>
      <w:r w:rsidR="00A433B9" w:rsidRPr="0022099C">
        <w:rPr>
          <w:rFonts w:asciiTheme="majorHAnsi" w:hAnsiTheme="majorHAnsi" w:cstheme="majorHAnsi"/>
        </w:rPr>
        <w:t>Sweden</w:t>
      </w:r>
      <w:proofErr w:type="gramEnd"/>
      <w:r w:rsidR="00A433B9" w:rsidRPr="0022099C">
        <w:rPr>
          <w:rFonts w:asciiTheme="majorHAnsi" w:hAnsiTheme="majorHAnsi" w:cstheme="majorHAnsi"/>
        </w:rPr>
        <w:t xml:space="preserve"> and the United Kingdom attended the meeting. </w:t>
      </w:r>
    </w:p>
    <w:p w14:paraId="42E2BACF" w14:textId="1EB3399F" w:rsidR="0022099C" w:rsidRPr="0022099C" w:rsidRDefault="00653C46" w:rsidP="0022099C">
      <w:pPr>
        <w:pStyle w:val="ListParagraph"/>
        <w:numPr>
          <w:ilvl w:val="0"/>
          <w:numId w:val="23"/>
        </w:numPr>
        <w:tabs>
          <w:tab w:val="clear" w:pos="357"/>
          <w:tab w:val="left" w:pos="426"/>
        </w:tabs>
        <w:spacing w:before="120" w:after="120"/>
        <w:ind w:left="425" w:hanging="425"/>
        <w:contextualSpacing w:val="0"/>
        <w:jc w:val="both"/>
        <w:rPr>
          <w:rFonts w:asciiTheme="majorHAnsi" w:hAnsiTheme="majorHAnsi" w:cstheme="majorHAnsi"/>
        </w:rPr>
      </w:pPr>
      <w:r w:rsidRPr="0022099C">
        <w:rPr>
          <w:rFonts w:asciiTheme="majorHAnsi" w:hAnsiTheme="majorHAnsi" w:cstheme="majorHAnsi"/>
        </w:rPr>
        <w:t xml:space="preserve">More than 30 international non-governmental organisations are involved in OSPAR as official Observers. They represent a broad range of interests and expertise related to the marine environment and the uses of marine resources. Many contribute information, </w:t>
      </w:r>
      <w:proofErr w:type="gramStart"/>
      <w:r w:rsidRPr="0022099C">
        <w:rPr>
          <w:rFonts w:asciiTheme="majorHAnsi" w:hAnsiTheme="majorHAnsi" w:cstheme="majorHAnsi"/>
        </w:rPr>
        <w:t>insights</w:t>
      </w:r>
      <w:proofErr w:type="gramEnd"/>
      <w:r w:rsidRPr="0022099C">
        <w:rPr>
          <w:rFonts w:asciiTheme="majorHAnsi" w:hAnsiTheme="majorHAnsi" w:cstheme="majorHAnsi"/>
        </w:rPr>
        <w:t xml:space="preserve"> and standpoints. This is much appreciated feedback from civil society and the economy. The OSPAR Commission greatly values these partnerships that help inform its decisions and other results. (</w:t>
      </w:r>
      <w:r w:rsidR="00EC7E9E" w:rsidRPr="0022099C">
        <w:rPr>
          <w:rFonts w:asciiTheme="majorHAnsi" w:hAnsiTheme="majorHAnsi" w:cstheme="majorHAnsi"/>
        </w:rPr>
        <w:t>See</w:t>
      </w:r>
      <w:r w:rsidRPr="0022099C">
        <w:rPr>
          <w:rFonts w:asciiTheme="majorHAnsi" w:hAnsiTheme="majorHAnsi" w:cstheme="majorHAnsi"/>
        </w:rPr>
        <w:t xml:space="preserve"> list on OSPAR website at</w:t>
      </w:r>
      <w:r w:rsidR="009A4FB8" w:rsidRPr="0022099C">
        <w:rPr>
          <w:rFonts w:asciiTheme="majorHAnsi" w:hAnsiTheme="majorHAnsi" w:cstheme="majorHAnsi"/>
        </w:rPr>
        <w:t xml:space="preserve"> </w:t>
      </w:r>
      <w:hyperlink r:id="rId12" w:history="1">
        <w:r w:rsidR="009A4FB8" w:rsidRPr="0022099C">
          <w:rPr>
            <w:rFonts w:asciiTheme="majorHAnsi" w:hAnsiTheme="majorHAnsi" w:cstheme="majorHAnsi"/>
          </w:rPr>
          <w:t>http://www.ospar.org/organisation/observers</w:t>
        </w:r>
      </w:hyperlink>
      <w:r w:rsidRPr="0022099C">
        <w:rPr>
          <w:rFonts w:asciiTheme="majorHAnsi" w:hAnsiTheme="majorHAnsi" w:cstheme="majorHAnsi"/>
        </w:rPr>
        <w:t>)</w:t>
      </w:r>
      <w:r w:rsidR="00BD18FA" w:rsidRPr="0022099C">
        <w:rPr>
          <w:rFonts w:asciiTheme="majorHAnsi" w:hAnsiTheme="majorHAnsi" w:cstheme="majorHAnsi"/>
        </w:rPr>
        <w:t>.</w:t>
      </w:r>
      <w:r w:rsidR="00A433B9" w:rsidRPr="0022099C">
        <w:rPr>
          <w:rFonts w:asciiTheme="majorHAnsi" w:hAnsiTheme="majorHAnsi" w:cstheme="majorHAnsi"/>
        </w:rPr>
        <w:t xml:space="preserve"> OSPAR observers Greenpeace, </w:t>
      </w:r>
      <w:r w:rsidR="009A0222" w:rsidRPr="0022099C">
        <w:rPr>
          <w:rFonts w:asciiTheme="majorHAnsi" w:hAnsiTheme="majorHAnsi" w:cstheme="majorHAnsi"/>
        </w:rPr>
        <w:t>KIMO</w:t>
      </w:r>
      <w:r w:rsidR="00A433B9" w:rsidRPr="0022099C">
        <w:rPr>
          <w:rFonts w:asciiTheme="majorHAnsi" w:hAnsiTheme="majorHAnsi" w:cstheme="majorHAnsi"/>
        </w:rPr>
        <w:t xml:space="preserve"> and the </w:t>
      </w:r>
      <w:r w:rsidR="005A7A7A" w:rsidRPr="0022099C">
        <w:rPr>
          <w:rFonts w:asciiTheme="majorHAnsi" w:hAnsiTheme="majorHAnsi" w:cstheme="majorHAnsi"/>
        </w:rPr>
        <w:t xml:space="preserve">International Association of Oil and Gas Producers (IOGP) </w:t>
      </w:r>
      <w:r w:rsidR="00A433B9" w:rsidRPr="0022099C">
        <w:rPr>
          <w:rFonts w:asciiTheme="majorHAnsi" w:hAnsiTheme="majorHAnsi" w:cstheme="majorHAnsi"/>
        </w:rPr>
        <w:t>attended the meeting.</w:t>
      </w:r>
    </w:p>
    <w:p w14:paraId="56985F09" w14:textId="57D026EF" w:rsidR="0022099C" w:rsidRPr="0022099C" w:rsidRDefault="0022099C" w:rsidP="0022099C">
      <w:pPr>
        <w:pStyle w:val="ListParagraph"/>
        <w:numPr>
          <w:ilvl w:val="0"/>
          <w:numId w:val="23"/>
        </w:numPr>
        <w:tabs>
          <w:tab w:val="clear" w:pos="357"/>
          <w:tab w:val="left" w:pos="426"/>
        </w:tabs>
        <w:spacing w:before="120" w:after="120"/>
        <w:ind w:left="425" w:hanging="425"/>
        <w:contextualSpacing w:val="0"/>
        <w:jc w:val="both"/>
        <w:rPr>
          <w:rFonts w:asciiTheme="majorHAnsi" w:hAnsiTheme="majorHAnsi" w:cstheme="majorHAnsi"/>
        </w:rPr>
      </w:pPr>
      <w:r w:rsidRPr="0022099C">
        <w:rPr>
          <w:rFonts w:asciiTheme="majorHAnsi" w:hAnsiTheme="majorHAnsi" w:cstheme="majorHAnsi"/>
        </w:rPr>
        <w:t>The OSPAR Commission, as an intergovernmental organisation composed of 15 governments and the European Union, provides a forum for inter-governmental cooperation on matters related to the protection and conservation of the North-East Atlantic, and is committed to ensuring impartiality when supporting Contracting Parties in the application of the OSPAR Convention.</w:t>
      </w:r>
    </w:p>
    <w:p w14:paraId="04CAC27E" w14:textId="643FC1FC" w:rsidR="004441D4" w:rsidRPr="003F1668" w:rsidRDefault="0022099C" w:rsidP="00BF7669">
      <w:pPr>
        <w:spacing w:before="120" w:after="120"/>
        <w:ind w:left="357" w:hanging="357"/>
        <w:jc w:val="both"/>
        <w:rPr>
          <w:rFonts w:asciiTheme="majorHAnsi" w:hAnsiTheme="majorHAnsi" w:cstheme="majorHAnsi"/>
        </w:rPr>
      </w:pPr>
      <w:r>
        <w:rPr>
          <w:rFonts w:asciiTheme="majorHAnsi" w:hAnsiTheme="majorHAnsi" w:cstheme="majorHAnsi"/>
        </w:rPr>
        <w:t>4</w:t>
      </w:r>
      <w:r w:rsidR="004441D4" w:rsidRPr="003F1668">
        <w:rPr>
          <w:rFonts w:asciiTheme="majorHAnsi" w:hAnsiTheme="majorHAnsi" w:cstheme="majorHAnsi"/>
        </w:rPr>
        <w:t>.</w:t>
      </w:r>
      <w:r w:rsidR="004441D4" w:rsidRPr="003F1668">
        <w:rPr>
          <w:rFonts w:asciiTheme="majorHAnsi" w:hAnsiTheme="majorHAnsi" w:cstheme="majorHAnsi"/>
        </w:rPr>
        <w:tab/>
      </w:r>
      <w:r w:rsidR="00D81FD4" w:rsidRPr="003F1668">
        <w:rPr>
          <w:rFonts w:asciiTheme="majorHAnsi" w:hAnsiTheme="majorHAnsi" w:cstheme="majorHAnsi"/>
        </w:rPr>
        <w:t xml:space="preserve">Since 1998 the dumping, and leaving wholly or partly in place, of disused offshore installations is prohibited within the OSPAR maritime area under OSPAR Decision 98/3 on the Disposal of Disused Offshore Installations </w:t>
      </w:r>
      <w:hyperlink r:id="rId13" w:history="1">
        <w:r w:rsidR="00D81FD4" w:rsidRPr="003F1668">
          <w:rPr>
            <w:rStyle w:val="Hyperlink"/>
            <w:rFonts w:asciiTheme="majorHAnsi" w:hAnsiTheme="majorHAnsi" w:cstheme="majorHAnsi"/>
          </w:rPr>
          <w:t>https://www.ospar.org/documents?d=32703</w:t>
        </w:r>
      </w:hyperlink>
      <w:r w:rsidR="00D81FD4" w:rsidRPr="003F1668">
        <w:rPr>
          <w:rFonts w:asciiTheme="majorHAnsi" w:hAnsiTheme="majorHAnsi" w:cstheme="majorHAnsi"/>
        </w:rPr>
        <w:t>. However, following assessment, the competent authority of the relevant Contracting Party may give permission to an operator to leave installations or parts of installations in place in certain cases.</w:t>
      </w:r>
      <w:r w:rsidR="00A25052" w:rsidRPr="003F1668">
        <w:rPr>
          <w:rFonts w:asciiTheme="majorHAnsi" w:hAnsiTheme="majorHAnsi" w:cstheme="majorHAnsi"/>
        </w:rPr>
        <w:t xml:space="preserve"> </w:t>
      </w:r>
    </w:p>
    <w:p w14:paraId="589B999B" w14:textId="4B62DF92" w:rsidR="00A21967" w:rsidRPr="006A390D" w:rsidRDefault="0022099C" w:rsidP="00A21967">
      <w:pPr>
        <w:tabs>
          <w:tab w:val="clear" w:pos="357"/>
          <w:tab w:val="left" w:pos="284"/>
        </w:tabs>
        <w:spacing w:before="120"/>
        <w:ind w:left="284" w:hanging="284"/>
        <w:jc w:val="both"/>
        <w:rPr>
          <w:rFonts w:cs="Calibri"/>
          <w:color w:val="000000"/>
        </w:rPr>
      </w:pPr>
      <w:r>
        <w:rPr>
          <w:rFonts w:asciiTheme="majorHAnsi" w:hAnsiTheme="majorHAnsi" w:cstheme="majorHAnsi"/>
        </w:rPr>
        <w:t>5</w:t>
      </w:r>
      <w:r w:rsidR="00D81FD4" w:rsidRPr="003F1668">
        <w:rPr>
          <w:rFonts w:asciiTheme="majorHAnsi" w:hAnsiTheme="majorHAnsi" w:cstheme="majorHAnsi"/>
        </w:rPr>
        <w:t>.</w:t>
      </w:r>
      <w:r w:rsidR="00D81FD4" w:rsidRPr="003F1668">
        <w:rPr>
          <w:rFonts w:asciiTheme="majorHAnsi" w:hAnsiTheme="majorHAnsi" w:cstheme="majorHAnsi"/>
        </w:rPr>
        <w:tab/>
        <w:t xml:space="preserve">In the </w:t>
      </w:r>
      <w:r w:rsidR="001B4DA4" w:rsidRPr="003F1668">
        <w:rPr>
          <w:rFonts w:asciiTheme="majorHAnsi" w:hAnsiTheme="majorHAnsi" w:cstheme="majorHAnsi"/>
        </w:rPr>
        <w:t>OSPAR Maritime Area</w:t>
      </w:r>
      <w:r w:rsidR="00D81FD4" w:rsidRPr="003F1668">
        <w:rPr>
          <w:rFonts w:asciiTheme="majorHAnsi" w:hAnsiTheme="majorHAnsi" w:cstheme="majorHAnsi"/>
        </w:rPr>
        <w:t xml:space="preserve">, </w:t>
      </w:r>
      <w:r w:rsidR="00D81FD4" w:rsidRPr="00211D3E">
        <w:rPr>
          <w:rFonts w:asciiTheme="majorHAnsi" w:hAnsiTheme="majorHAnsi" w:cstheme="majorHAnsi"/>
        </w:rPr>
        <w:t>more than 13</w:t>
      </w:r>
      <w:r w:rsidR="00A21967" w:rsidRPr="00211D3E">
        <w:rPr>
          <w:rFonts w:asciiTheme="majorHAnsi" w:hAnsiTheme="majorHAnsi" w:cstheme="majorHAnsi"/>
        </w:rPr>
        <w:t>0</w:t>
      </w:r>
      <w:r w:rsidR="00D81FD4" w:rsidRPr="00211D3E">
        <w:rPr>
          <w:rFonts w:asciiTheme="majorHAnsi" w:hAnsiTheme="majorHAnsi" w:cstheme="majorHAnsi"/>
        </w:rPr>
        <w:t>0 offshore installations are operational and 170 have been decommissioned</w:t>
      </w:r>
      <w:r w:rsidR="00A25052" w:rsidRPr="00211D3E">
        <w:rPr>
          <w:rFonts w:asciiTheme="majorHAnsi" w:hAnsiTheme="majorHAnsi" w:cstheme="majorHAnsi"/>
        </w:rPr>
        <w:t xml:space="preserve"> </w:t>
      </w:r>
      <w:hyperlink r:id="rId14" w:history="1">
        <w:r w:rsidR="00211D3E" w:rsidRPr="00211D3E">
          <w:rPr>
            <w:rStyle w:val="Hyperlink"/>
            <w:rFonts w:asciiTheme="majorHAnsi" w:hAnsiTheme="majorHAnsi" w:cstheme="majorHAnsi"/>
            <w:sz w:val="22"/>
            <w:szCs w:val="22"/>
          </w:rPr>
          <w:t>https://odims.ospar.org/en/submissions/ospar_offshore_installations_2019_01/</w:t>
        </w:r>
      </w:hyperlink>
      <w:r w:rsidR="00211D3E" w:rsidRPr="00211D3E">
        <w:rPr>
          <w:rFonts w:asciiTheme="majorHAnsi" w:hAnsiTheme="majorHAnsi" w:cstheme="majorHAnsi"/>
          <w:sz w:val="22"/>
          <w:szCs w:val="22"/>
        </w:rPr>
        <w:t>.</w:t>
      </w:r>
      <w:r w:rsidR="00D81FD4" w:rsidRPr="00211D3E">
        <w:rPr>
          <w:rFonts w:asciiTheme="majorHAnsi" w:hAnsiTheme="majorHAnsi" w:cstheme="majorHAnsi"/>
        </w:rPr>
        <w:t xml:space="preserve"> Since 2001 and under OSPAR Decision 98/3, </w:t>
      </w:r>
      <w:r w:rsidR="00A21967" w:rsidRPr="00211D3E">
        <w:rPr>
          <w:rFonts w:asciiTheme="majorHAnsi" w:hAnsiTheme="majorHAnsi" w:cstheme="majorHAnsi"/>
        </w:rPr>
        <w:t>10 derogations</w:t>
      </w:r>
      <w:r w:rsidR="00A21967" w:rsidRPr="00A21967">
        <w:rPr>
          <w:rFonts w:asciiTheme="majorHAnsi" w:hAnsiTheme="majorHAnsi" w:cstheme="majorHAnsi"/>
        </w:rPr>
        <w:t xml:space="preserve"> have been granted by the United Kingdom and Norway. In nine cases comments and objections were solved during the consultation process in accordance with Annex 3 of OSPAR Decision 98/3. A Special Consultative Meeting (SCM) was held on 19 October 2019 to consider issuing a permit for leaving in situ the footings of the Brent Alpha steel jacket and the gravity based concrete installations of Brent Bravo, Brent </w:t>
      </w:r>
      <w:proofErr w:type="gramStart"/>
      <w:r w:rsidR="00A21967" w:rsidRPr="00A21967">
        <w:rPr>
          <w:rFonts w:asciiTheme="majorHAnsi" w:hAnsiTheme="majorHAnsi" w:cstheme="majorHAnsi"/>
        </w:rPr>
        <w:t>Charlie</w:t>
      </w:r>
      <w:proofErr w:type="gramEnd"/>
      <w:r w:rsidR="00A21967" w:rsidRPr="00A21967">
        <w:rPr>
          <w:rFonts w:asciiTheme="majorHAnsi" w:hAnsiTheme="majorHAnsi" w:cstheme="majorHAnsi"/>
        </w:rPr>
        <w:t xml:space="preserve"> and Brent Delta.</w:t>
      </w:r>
    </w:p>
    <w:p w14:paraId="19041090" w14:textId="2D47C273" w:rsidR="00BD18FA" w:rsidRPr="003F1668" w:rsidRDefault="0022099C" w:rsidP="00BF7669">
      <w:pPr>
        <w:spacing w:before="120" w:after="120"/>
        <w:ind w:left="357" w:hanging="357"/>
        <w:jc w:val="both"/>
        <w:rPr>
          <w:rFonts w:asciiTheme="majorHAnsi" w:hAnsiTheme="majorHAnsi" w:cstheme="majorHAnsi"/>
        </w:rPr>
      </w:pPr>
      <w:r>
        <w:rPr>
          <w:rFonts w:asciiTheme="majorHAnsi" w:hAnsiTheme="majorHAnsi" w:cstheme="majorHAnsi"/>
        </w:rPr>
        <w:t>6</w:t>
      </w:r>
      <w:r w:rsidR="00BD18FA" w:rsidRPr="003F1668">
        <w:rPr>
          <w:rFonts w:asciiTheme="majorHAnsi" w:hAnsiTheme="majorHAnsi" w:cstheme="majorHAnsi"/>
        </w:rPr>
        <w:t>.</w:t>
      </w:r>
      <w:r w:rsidR="00BD18FA" w:rsidRPr="003F1668">
        <w:rPr>
          <w:rFonts w:asciiTheme="majorHAnsi" w:hAnsiTheme="majorHAnsi" w:cstheme="majorHAnsi"/>
        </w:rPr>
        <w:tab/>
      </w:r>
      <w:r w:rsidR="004F6987" w:rsidRPr="003F1668">
        <w:rPr>
          <w:rFonts w:asciiTheme="majorHAnsi" w:hAnsiTheme="majorHAnsi" w:cstheme="majorHAnsi"/>
        </w:rPr>
        <w:t xml:space="preserve">OSPAR Contracting Parties with oil and gas industry offshore installations </w:t>
      </w:r>
      <w:proofErr w:type="gramStart"/>
      <w:r w:rsidR="004F6987" w:rsidRPr="003F1668">
        <w:rPr>
          <w:rFonts w:asciiTheme="majorHAnsi" w:hAnsiTheme="majorHAnsi" w:cstheme="majorHAnsi"/>
        </w:rPr>
        <w:t>are:</w:t>
      </w:r>
      <w:proofErr w:type="gramEnd"/>
      <w:r w:rsidR="004F6987" w:rsidRPr="003F1668">
        <w:rPr>
          <w:rFonts w:asciiTheme="majorHAnsi" w:hAnsiTheme="majorHAnsi" w:cstheme="majorHAnsi"/>
        </w:rPr>
        <w:t xml:space="preserve"> Denmark, Germany, Ireland, the Netherlands, Norway, Spain and the United Kingdom. </w:t>
      </w:r>
      <w:r w:rsidR="00CE5A74" w:rsidRPr="003F1668">
        <w:rPr>
          <w:rFonts w:asciiTheme="majorHAnsi" w:hAnsiTheme="majorHAnsi" w:cstheme="majorHAnsi"/>
        </w:rPr>
        <w:t>Offshore Installations in the offshore maritime area</w:t>
      </w:r>
      <w:r w:rsidR="00010A7D" w:rsidRPr="003F1668">
        <w:rPr>
          <w:rFonts w:asciiTheme="majorHAnsi" w:hAnsiTheme="majorHAnsi" w:cstheme="majorHAnsi"/>
        </w:rPr>
        <w:t xml:space="preserve"> are shown below</w:t>
      </w:r>
      <w:r w:rsidR="00CE5A74" w:rsidRPr="003F1668">
        <w:rPr>
          <w:rFonts w:asciiTheme="majorHAnsi" w:hAnsiTheme="majorHAnsi" w:cstheme="majorHAnsi"/>
        </w:rPr>
        <w:t>.</w:t>
      </w:r>
    </w:p>
    <w:p w14:paraId="2395522D" w14:textId="222ED9A9" w:rsidR="00CD1F92" w:rsidRDefault="00C95010" w:rsidP="00875A31">
      <w:pPr>
        <w:tabs>
          <w:tab w:val="clear" w:pos="357"/>
        </w:tabs>
        <w:ind w:left="426" w:hanging="426"/>
        <w:jc w:val="center"/>
        <w:rPr>
          <w:noProof/>
        </w:rPr>
      </w:pPr>
      <w:r>
        <w:rPr>
          <w:noProof/>
        </w:rPr>
        <w:lastRenderedPageBreak/>
        <w:drawing>
          <wp:anchor distT="0" distB="0" distL="114300" distR="114300" simplePos="0" relativeHeight="251658240" behindDoc="0" locked="0" layoutInCell="1" allowOverlap="1" wp14:anchorId="4D7507BD" wp14:editId="64E81E64">
            <wp:simplePos x="0" y="0"/>
            <wp:positionH relativeFrom="margin">
              <wp:posOffset>1300994</wp:posOffset>
            </wp:positionH>
            <wp:positionV relativeFrom="paragraph">
              <wp:posOffset>403063</wp:posOffset>
            </wp:positionV>
            <wp:extent cx="1151916" cy="846306"/>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5"/>
                    <a:stretch>
                      <a:fillRect/>
                    </a:stretch>
                  </pic:blipFill>
                  <pic:spPr>
                    <a:xfrm>
                      <a:off x="0" y="0"/>
                      <a:ext cx="1151916" cy="846306"/>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69E969A" wp14:editId="0D5CD8E7">
            <wp:extent cx="4039621" cy="4912468"/>
            <wp:effectExtent l="0" t="0" r="0" b="2540"/>
            <wp:docPr id="2" name="Picture 2"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p&#10;&#10;Description automatically generated"/>
                    <pic:cNvPicPr/>
                  </pic:nvPicPr>
                  <pic:blipFill>
                    <a:blip r:embed="rId16"/>
                    <a:stretch>
                      <a:fillRect/>
                    </a:stretch>
                  </pic:blipFill>
                  <pic:spPr>
                    <a:xfrm>
                      <a:off x="0" y="0"/>
                      <a:ext cx="4041353" cy="4914574"/>
                    </a:xfrm>
                    <a:prstGeom prst="rect">
                      <a:avLst/>
                    </a:prstGeom>
                  </pic:spPr>
                </pic:pic>
              </a:graphicData>
            </a:graphic>
          </wp:inline>
        </w:drawing>
      </w:r>
    </w:p>
    <w:p w14:paraId="3161E7E5" w14:textId="087B9441" w:rsidR="00875A31" w:rsidRPr="00875A31" w:rsidRDefault="00875A31" w:rsidP="00875A31">
      <w:pPr>
        <w:tabs>
          <w:tab w:val="clear" w:pos="357"/>
        </w:tabs>
        <w:ind w:left="426" w:hanging="426"/>
        <w:jc w:val="center"/>
        <w:rPr>
          <w:rFonts w:asciiTheme="majorHAnsi" w:hAnsiTheme="majorHAnsi" w:cstheme="majorHAnsi"/>
          <w:sz w:val="22"/>
          <w:szCs w:val="22"/>
        </w:rPr>
      </w:pPr>
      <w:r w:rsidRPr="00875A31">
        <w:rPr>
          <w:rFonts w:asciiTheme="majorHAnsi" w:hAnsiTheme="majorHAnsi" w:cstheme="majorHAnsi"/>
          <w:noProof/>
          <w:sz w:val="22"/>
          <w:szCs w:val="22"/>
        </w:rPr>
        <w:t>Offshore installations in the OSPAR maritime area (2019)</w:t>
      </w:r>
    </w:p>
    <w:p w14:paraId="07F341D5" w14:textId="77777777" w:rsidR="00875A31" w:rsidRDefault="00875A31">
      <w:pPr>
        <w:tabs>
          <w:tab w:val="clear" w:pos="357"/>
        </w:tabs>
        <w:ind w:left="426" w:hanging="426"/>
        <w:rPr>
          <w:rFonts w:asciiTheme="majorHAnsi" w:hAnsiTheme="majorHAnsi" w:cstheme="majorHAnsi"/>
        </w:rPr>
      </w:pPr>
    </w:p>
    <w:sectPr w:rsidR="00875A31" w:rsidSect="00963657">
      <w:headerReference w:type="default" r:id="rId17"/>
      <w:footerReference w:type="default" r:id="rId18"/>
      <w:pgSz w:w="11907" w:h="16840"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20290" w14:textId="77777777" w:rsidR="008F1F63" w:rsidRDefault="008F1F63">
      <w:r>
        <w:separator/>
      </w:r>
    </w:p>
  </w:endnote>
  <w:endnote w:type="continuationSeparator" w:id="0">
    <w:p w14:paraId="2F39074F" w14:textId="77777777" w:rsidR="008F1F63" w:rsidRDefault="008F1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OrigGarmnd BT">
    <w:altName w:val="Constantia"/>
    <w:charset w:val="00"/>
    <w:family w:val="roman"/>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592745"/>
      <w:docPartObj>
        <w:docPartGallery w:val="Page Numbers (Bottom of Page)"/>
        <w:docPartUnique/>
      </w:docPartObj>
    </w:sdtPr>
    <w:sdtEndPr/>
    <w:sdtContent>
      <w:sdt>
        <w:sdtPr>
          <w:id w:val="-1769616900"/>
          <w:docPartObj>
            <w:docPartGallery w:val="Page Numbers (Top of Page)"/>
            <w:docPartUnique/>
          </w:docPartObj>
        </w:sdtPr>
        <w:sdtEndPr/>
        <w:sdtContent>
          <w:p w14:paraId="74F5ED34" w14:textId="7987B422" w:rsidR="003F524E" w:rsidRDefault="003F524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63D97">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63D97">
              <w:rPr>
                <w:b/>
                <w:bCs/>
                <w:noProof/>
              </w:rPr>
              <w:t>3</w:t>
            </w:r>
            <w:r>
              <w:rPr>
                <w:b/>
                <w:bCs/>
                <w:sz w:val="24"/>
                <w:szCs w:val="24"/>
              </w:rPr>
              <w:fldChar w:fldCharType="end"/>
            </w:r>
          </w:p>
        </w:sdtContent>
      </w:sdt>
    </w:sdtContent>
  </w:sdt>
  <w:p w14:paraId="1999DE40" w14:textId="77777777" w:rsidR="003F524E" w:rsidRDefault="003F5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56C5A" w14:textId="77777777" w:rsidR="008F1F63" w:rsidRDefault="008F1F63">
      <w:r>
        <w:separator/>
      </w:r>
    </w:p>
  </w:footnote>
  <w:footnote w:type="continuationSeparator" w:id="0">
    <w:p w14:paraId="68B3CC1B" w14:textId="77777777" w:rsidR="008F1F63" w:rsidRDefault="008F1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70BD" w14:textId="3515DA37" w:rsidR="003F524E" w:rsidRDefault="00435435">
    <w:pPr>
      <w:pStyle w:val="Header"/>
      <w:spacing w:line="20" w:lineRule="atLeast"/>
      <w:rPr>
        <w:sz w:val="2"/>
      </w:rPr>
    </w:pPr>
    <w:r>
      <w:rPr>
        <w:noProof/>
      </w:rPr>
      <w:drawing>
        <wp:inline distT="0" distB="0" distL="0" distR="0" wp14:anchorId="22613059" wp14:editId="05887AF0">
          <wp:extent cx="1603375" cy="419100"/>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3375" cy="419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5008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7806FE2C"/>
    <w:lvl w:ilvl="0">
      <w:start w:val="1"/>
      <w:numFmt w:val="decimal"/>
      <w:pStyle w:val="ListNumber"/>
      <w:lvlText w:val="%1."/>
      <w:lvlJc w:val="left"/>
      <w:pPr>
        <w:tabs>
          <w:tab w:val="num" w:pos="360"/>
        </w:tabs>
        <w:ind w:left="360" w:hanging="360"/>
      </w:pPr>
      <w:rPr>
        <w:rFonts w:hint="default"/>
        <w:b w:val="0"/>
        <w:i w:val="0"/>
        <w:color w:val="16288E"/>
        <w:sz w:val="20"/>
      </w:rPr>
    </w:lvl>
  </w:abstractNum>
  <w:abstractNum w:abstractNumId="2" w15:restartNumberingAfterBreak="0">
    <w:nsid w:val="FFFFFF89"/>
    <w:multiLevelType w:val="singleLevel"/>
    <w:tmpl w:val="E5DCAF2A"/>
    <w:lvl w:ilvl="0">
      <w:start w:val="1"/>
      <w:numFmt w:val="bullet"/>
      <w:pStyle w:val="ListBullet"/>
      <w:lvlText w:val=""/>
      <w:lvlJc w:val="left"/>
      <w:pPr>
        <w:tabs>
          <w:tab w:val="num" w:pos="360"/>
        </w:tabs>
        <w:ind w:left="357" w:hanging="357"/>
      </w:pPr>
      <w:rPr>
        <w:rFonts w:ascii="Symbol" w:hAnsi="Symbol" w:hint="default"/>
        <w:color w:val="0C2677"/>
      </w:rPr>
    </w:lvl>
  </w:abstractNum>
  <w:abstractNum w:abstractNumId="3" w15:restartNumberingAfterBreak="0">
    <w:nsid w:val="067D071C"/>
    <w:multiLevelType w:val="hybridMultilevel"/>
    <w:tmpl w:val="C9A66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D533FF"/>
    <w:multiLevelType w:val="hybridMultilevel"/>
    <w:tmpl w:val="FB86C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F559E7"/>
    <w:multiLevelType w:val="multilevel"/>
    <w:tmpl w:val="7F5C780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4110228"/>
    <w:multiLevelType w:val="multilevel"/>
    <w:tmpl w:val="CA8A9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4D26A8"/>
    <w:multiLevelType w:val="hybridMultilevel"/>
    <w:tmpl w:val="7C2E6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B74EC"/>
    <w:multiLevelType w:val="hybridMultilevel"/>
    <w:tmpl w:val="7702079C"/>
    <w:lvl w:ilvl="0" w:tplc="6B4E12D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0D566E3"/>
    <w:multiLevelType w:val="hybridMultilevel"/>
    <w:tmpl w:val="2FAE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A804DC"/>
    <w:multiLevelType w:val="hybridMultilevel"/>
    <w:tmpl w:val="AE42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381ED0"/>
    <w:multiLevelType w:val="hybridMultilevel"/>
    <w:tmpl w:val="9814DAE0"/>
    <w:lvl w:ilvl="0" w:tplc="AEF44A4C">
      <w:start w:val="1"/>
      <w:numFmt w:val="decimal"/>
      <w:lvlText w:val="%1."/>
      <w:lvlJc w:val="left"/>
      <w:pPr>
        <w:ind w:left="1080" w:hanging="720"/>
      </w:pPr>
      <w:rPr>
        <w:rFonts w:hint="default"/>
        <w:sz w:val="22"/>
        <w:szCs w:val="22"/>
      </w:rPr>
    </w:lvl>
    <w:lvl w:ilvl="1" w:tplc="0809000F">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D63351"/>
    <w:multiLevelType w:val="hybridMultilevel"/>
    <w:tmpl w:val="CEF657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D5C5988"/>
    <w:multiLevelType w:val="hybridMultilevel"/>
    <w:tmpl w:val="05AE6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E2925A4"/>
    <w:multiLevelType w:val="hybridMultilevel"/>
    <w:tmpl w:val="C52CA4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05C3E"/>
    <w:multiLevelType w:val="hybridMultilevel"/>
    <w:tmpl w:val="AE882578"/>
    <w:lvl w:ilvl="0" w:tplc="C5305128">
      <w:start w:val="1"/>
      <w:numFmt w:val="decimal"/>
      <w:lvlText w:val="%1."/>
      <w:lvlJc w:val="left"/>
      <w:pPr>
        <w:ind w:left="72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F7271B"/>
    <w:multiLevelType w:val="multilevel"/>
    <w:tmpl w:val="004493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701805D5"/>
    <w:multiLevelType w:val="hybridMultilevel"/>
    <w:tmpl w:val="F796D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912F9C"/>
    <w:multiLevelType w:val="hybridMultilevel"/>
    <w:tmpl w:val="565CA0DE"/>
    <w:lvl w:ilvl="0" w:tplc="D8F83FF0">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19" w15:restartNumberingAfterBreak="0">
    <w:nsid w:val="794A6F22"/>
    <w:multiLevelType w:val="hybridMultilevel"/>
    <w:tmpl w:val="AE882578"/>
    <w:lvl w:ilvl="0" w:tplc="C5305128">
      <w:start w:val="1"/>
      <w:numFmt w:val="decimal"/>
      <w:lvlText w:val="%1."/>
      <w:lvlJc w:val="left"/>
      <w:pPr>
        <w:ind w:left="720" w:hanging="360"/>
      </w:pPr>
      <w:rPr>
        <w:rFonts w:hint="default"/>
        <w:color w:val="548DD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64357B"/>
    <w:multiLevelType w:val="hybridMultilevel"/>
    <w:tmpl w:val="D5CC6BD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3"/>
  </w:num>
  <w:num w:numId="6">
    <w:abstractNumId w:val="20"/>
  </w:num>
  <w:num w:numId="7">
    <w:abstractNumId w:val="15"/>
  </w:num>
  <w:num w:numId="8">
    <w:abstractNumId w:val="0"/>
  </w:num>
  <w:num w:numId="9">
    <w:abstractNumId w:val="8"/>
  </w:num>
  <w:num w:numId="10">
    <w:abstractNumId w:val="17"/>
  </w:num>
  <w:num w:numId="11">
    <w:abstractNumId w:val="13"/>
  </w:num>
  <w:num w:numId="12">
    <w:abstractNumId w:val="4"/>
  </w:num>
  <w:num w:numId="13">
    <w:abstractNumId w:val="5"/>
  </w:num>
  <w:num w:numId="14">
    <w:abstractNumId w:val="6"/>
  </w:num>
  <w:num w:numId="15">
    <w:abstractNumId w:val="16"/>
  </w:num>
  <w:num w:numId="16">
    <w:abstractNumId w:val="10"/>
  </w:num>
  <w:num w:numId="17">
    <w:abstractNumId w:val="7"/>
  </w:num>
  <w:num w:numId="18">
    <w:abstractNumId w:val="9"/>
  </w:num>
  <w:num w:numId="19">
    <w:abstractNumId w:val="18"/>
  </w:num>
  <w:num w:numId="20">
    <w:abstractNumId w:val="19"/>
  </w:num>
  <w:num w:numId="21">
    <w:abstractNumId w:val="11"/>
  </w:num>
  <w:num w:numId="22">
    <w:abstractNumId w:val="12"/>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76E"/>
    <w:rsid w:val="00000C5F"/>
    <w:rsid w:val="00010A7D"/>
    <w:rsid w:val="00012E6A"/>
    <w:rsid w:val="000138FD"/>
    <w:rsid w:val="00015F75"/>
    <w:rsid w:val="00030D01"/>
    <w:rsid w:val="00034FE4"/>
    <w:rsid w:val="000466C1"/>
    <w:rsid w:val="00046EF1"/>
    <w:rsid w:val="0005073C"/>
    <w:rsid w:val="00050F80"/>
    <w:rsid w:val="000544A1"/>
    <w:rsid w:val="00060359"/>
    <w:rsid w:val="00063898"/>
    <w:rsid w:val="000647AF"/>
    <w:rsid w:val="000711E1"/>
    <w:rsid w:val="00072247"/>
    <w:rsid w:val="00075A0E"/>
    <w:rsid w:val="00081D3B"/>
    <w:rsid w:val="00083408"/>
    <w:rsid w:val="00085ADE"/>
    <w:rsid w:val="000A03FF"/>
    <w:rsid w:val="000A2E58"/>
    <w:rsid w:val="000A305B"/>
    <w:rsid w:val="000B43A5"/>
    <w:rsid w:val="000B5C02"/>
    <w:rsid w:val="000B723C"/>
    <w:rsid w:val="000C2CF1"/>
    <w:rsid w:val="000D767D"/>
    <w:rsid w:val="000E679D"/>
    <w:rsid w:val="000E6983"/>
    <w:rsid w:val="000E6EF4"/>
    <w:rsid w:val="000E7452"/>
    <w:rsid w:val="000F1536"/>
    <w:rsid w:val="000F5B7C"/>
    <w:rsid w:val="0010022B"/>
    <w:rsid w:val="00102B5F"/>
    <w:rsid w:val="001075FE"/>
    <w:rsid w:val="001249F1"/>
    <w:rsid w:val="00135320"/>
    <w:rsid w:val="00136A88"/>
    <w:rsid w:val="00152AA8"/>
    <w:rsid w:val="00154498"/>
    <w:rsid w:val="00154649"/>
    <w:rsid w:val="00155356"/>
    <w:rsid w:val="00163C4E"/>
    <w:rsid w:val="001749AF"/>
    <w:rsid w:val="00177797"/>
    <w:rsid w:val="0018047D"/>
    <w:rsid w:val="001933EA"/>
    <w:rsid w:val="00193F28"/>
    <w:rsid w:val="00194786"/>
    <w:rsid w:val="001A3DE7"/>
    <w:rsid w:val="001B04EE"/>
    <w:rsid w:val="001B1026"/>
    <w:rsid w:val="001B1D8D"/>
    <w:rsid w:val="001B4DA4"/>
    <w:rsid w:val="001B4E81"/>
    <w:rsid w:val="001B6C99"/>
    <w:rsid w:val="001E1344"/>
    <w:rsid w:val="001E51DC"/>
    <w:rsid w:val="001F15DD"/>
    <w:rsid w:val="001F1624"/>
    <w:rsid w:val="001F2047"/>
    <w:rsid w:val="001F5618"/>
    <w:rsid w:val="001F7C57"/>
    <w:rsid w:val="00206481"/>
    <w:rsid w:val="00211D3E"/>
    <w:rsid w:val="00212254"/>
    <w:rsid w:val="002124FA"/>
    <w:rsid w:val="00212E95"/>
    <w:rsid w:val="00212F8D"/>
    <w:rsid w:val="0021580E"/>
    <w:rsid w:val="0022099C"/>
    <w:rsid w:val="00221201"/>
    <w:rsid w:val="00223E55"/>
    <w:rsid w:val="002246CF"/>
    <w:rsid w:val="00231968"/>
    <w:rsid w:val="00244602"/>
    <w:rsid w:val="002462ED"/>
    <w:rsid w:val="002639CF"/>
    <w:rsid w:val="0026509C"/>
    <w:rsid w:val="002651B2"/>
    <w:rsid w:val="00270A19"/>
    <w:rsid w:val="0027377A"/>
    <w:rsid w:val="00273D82"/>
    <w:rsid w:val="00276B13"/>
    <w:rsid w:val="002777BA"/>
    <w:rsid w:val="00277B48"/>
    <w:rsid w:val="00290A91"/>
    <w:rsid w:val="00291305"/>
    <w:rsid w:val="00295C93"/>
    <w:rsid w:val="002A001F"/>
    <w:rsid w:val="002A62A2"/>
    <w:rsid w:val="002B0E1D"/>
    <w:rsid w:val="002B5254"/>
    <w:rsid w:val="002C187C"/>
    <w:rsid w:val="002C1B18"/>
    <w:rsid w:val="002D6B5F"/>
    <w:rsid w:val="002E19D9"/>
    <w:rsid w:val="002E2323"/>
    <w:rsid w:val="002E6809"/>
    <w:rsid w:val="002E6AE1"/>
    <w:rsid w:val="002F73E4"/>
    <w:rsid w:val="002F7DDC"/>
    <w:rsid w:val="003013B8"/>
    <w:rsid w:val="00311297"/>
    <w:rsid w:val="003132D4"/>
    <w:rsid w:val="003144FA"/>
    <w:rsid w:val="003278F4"/>
    <w:rsid w:val="00341E0D"/>
    <w:rsid w:val="00347F7F"/>
    <w:rsid w:val="0035720B"/>
    <w:rsid w:val="0036026E"/>
    <w:rsid w:val="0036048D"/>
    <w:rsid w:val="003648C2"/>
    <w:rsid w:val="003678E6"/>
    <w:rsid w:val="003706FA"/>
    <w:rsid w:val="0037204F"/>
    <w:rsid w:val="00374A78"/>
    <w:rsid w:val="0039675C"/>
    <w:rsid w:val="003972B5"/>
    <w:rsid w:val="003A0024"/>
    <w:rsid w:val="003C0248"/>
    <w:rsid w:val="003D3988"/>
    <w:rsid w:val="003D46B7"/>
    <w:rsid w:val="003D5601"/>
    <w:rsid w:val="003E26B1"/>
    <w:rsid w:val="003E6FAF"/>
    <w:rsid w:val="003F15F5"/>
    <w:rsid w:val="003F1668"/>
    <w:rsid w:val="003F524E"/>
    <w:rsid w:val="003F5D4B"/>
    <w:rsid w:val="003F5D80"/>
    <w:rsid w:val="003F5F50"/>
    <w:rsid w:val="00403270"/>
    <w:rsid w:val="00406F93"/>
    <w:rsid w:val="00410848"/>
    <w:rsid w:val="00410B09"/>
    <w:rsid w:val="00414B5B"/>
    <w:rsid w:val="004220EB"/>
    <w:rsid w:val="00430365"/>
    <w:rsid w:val="004332F7"/>
    <w:rsid w:val="00435386"/>
    <w:rsid w:val="00435435"/>
    <w:rsid w:val="00435D60"/>
    <w:rsid w:val="00440DE9"/>
    <w:rsid w:val="004441D4"/>
    <w:rsid w:val="00445294"/>
    <w:rsid w:val="004460A6"/>
    <w:rsid w:val="004635AA"/>
    <w:rsid w:val="00464395"/>
    <w:rsid w:val="0046684E"/>
    <w:rsid w:val="00474844"/>
    <w:rsid w:val="00474D28"/>
    <w:rsid w:val="004822A5"/>
    <w:rsid w:val="00491718"/>
    <w:rsid w:val="00492BCD"/>
    <w:rsid w:val="004940AF"/>
    <w:rsid w:val="00495457"/>
    <w:rsid w:val="00496474"/>
    <w:rsid w:val="004A133D"/>
    <w:rsid w:val="004C1CB6"/>
    <w:rsid w:val="004D4417"/>
    <w:rsid w:val="004E0A97"/>
    <w:rsid w:val="004E5808"/>
    <w:rsid w:val="004F6987"/>
    <w:rsid w:val="004F6F34"/>
    <w:rsid w:val="005013B4"/>
    <w:rsid w:val="00513CF6"/>
    <w:rsid w:val="00520A2A"/>
    <w:rsid w:val="00523DBB"/>
    <w:rsid w:val="00541CA0"/>
    <w:rsid w:val="00542BC8"/>
    <w:rsid w:val="00544E9A"/>
    <w:rsid w:val="005456F1"/>
    <w:rsid w:val="00551B44"/>
    <w:rsid w:val="00555511"/>
    <w:rsid w:val="00570F32"/>
    <w:rsid w:val="0057410C"/>
    <w:rsid w:val="0059005B"/>
    <w:rsid w:val="005A48F8"/>
    <w:rsid w:val="005A7A7A"/>
    <w:rsid w:val="005B3DA8"/>
    <w:rsid w:val="005B4CB9"/>
    <w:rsid w:val="005C1D01"/>
    <w:rsid w:val="005C4BF4"/>
    <w:rsid w:val="005C5848"/>
    <w:rsid w:val="005C5C35"/>
    <w:rsid w:val="005E2E73"/>
    <w:rsid w:val="005E4FD1"/>
    <w:rsid w:val="005F2A1E"/>
    <w:rsid w:val="00620163"/>
    <w:rsid w:val="00625617"/>
    <w:rsid w:val="0063132A"/>
    <w:rsid w:val="00632396"/>
    <w:rsid w:val="006445E2"/>
    <w:rsid w:val="00653C46"/>
    <w:rsid w:val="00656244"/>
    <w:rsid w:val="006826A8"/>
    <w:rsid w:val="00686572"/>
    <w:rsid w:val="00695A59"/>
    <w:rsid w:val="00696619"/>
    <w:rsid w:val="006A6254"/>
    <w:rsid w:val="006C1CEE"/>
    <w:rsid w:val="006C358B"/>
    <w:rsid w:val="006C5734"/>
    <w:rsid w:val="006C7379"/>
    <w:rsid w:val="006D004F"/>
    <w:rsid w:val="006D5E33"/>
    <w:rsid w:val="006E740A"/>
    <w:rsid w:val="006F2C8D"/>
    <w:rsid w:val="00701F92"/>
    <w:rsid w:val="00711828"/>
    <w:rsid w:val="0072003C"/>
    <w:rsid w:val="00723EA9"/>
    <w:rsid w:val="00732410"/>
    <w:rsid w:val="00737D41"/>
    <w:rsid w:val="00740390"/>
    <w:rsid w:val="00741792"/>
    <w:rsid w:val="0074686D"/>
    <w:rsid w:val="00747653"/>
    <w:rsid w:val="0074786B"/>
    <w:rsid w:val="00747C7B"/>
    <w:rsid w:val="007536A4"/>
    <w:rsid w:val="007766C8"/>
    <w:rsid w:val="0077750F"/>
    <w:rsid w:val="00777839"/>
    <w:rsid w:val="0078124C"/>
    <w:rsid w:val="007816F2"/>
    <w:rsid w:val="00783083"/>
    <w:rsid w:val="00794E11"/>
    <w:rsid w:val="00795D72"/>
    <w:rsid w:val="007A1467"/>
    <w:rsid w:val="007A3893"/>
    <w:rsid w:val="007B271C"/>
    <w:rsid w:val="007B5605"/>
    <w:rsid w:val="007B5CC2"/>
    <w:rsid w:val="007C34B2"/>
    <w:rsid w:val="007C35BE"/>
    <w:rsid w:val="007C3D20"/>
    <w:rsid w:val="007C4314"/>
    <w:rsid w:val="007C52F5"/>
    <w:rsid w:val="007D231E"/>
    <w:rsid w:val="007E4FF0"/>
    <w:rsid w:val="007E79A7"/>
    <w:rsid w:val="007F0E7F"/>
    <w:rsid w:val="007F2838"/>
    <w:rsid w:val="007F706A"/>
    <w:rsid w:val="00802170"/>
    <w:rsid w:val="00804D54"/>
    <w:rsid w:val="008052AC"/>
    <w:rsid w:val="00813CD6"/>
    <w:rsid w:val="00822DAC"/>
    <w:rsid w:val="00824715"/>
    <w:rsid w:val="008251D4"/>
    <w:rsid w:val="00830830"/>
    <w:rsid w:val="008321B1"/>
    <w:rsid w:val="008344D8"/>
    <w:rsid w:val="008455DD"/>
    <w:rsid w:val="008456C3"/>
    <w:rsid w:val="00847A38"/>
    <w:rsid w:val="00862887"/>
    <w:rsid w:val="00862BD7"/>
    <w:rsid w:val="008640CA"/>
    <w:rsid w:val="0086441B"/>
    <w:rsid w:val="00866B7D"/>
    <w:rsid w:val="00871B55"/>
    <w:rsid w:val="008740F2"/>
    <w:rsid w:val="00875A31"/>
    <w:rsid w:val="00881D86"/>
    <w:rsid w:val="0088425A"/>
    <w:rsid w:val="00884C71"/>
    <w:rsid w:val="008857A0"/>
    <w:rsid w:val="00887CFA"/>
    <w:rsid w:val="00892EF5"/>
    <w:rsid w:val="00894069"/>
    <w:rsid w:val="00895491"/>
    <w:rsid w:val="008A1C4E"/>
    <w:rsid w:val="008B0456"/>
    <w:rsid w:val="008B1FF8"/>
    <w:rsid w:val="008B2083"/>
    <w:rsid w:val="008B3BEB"/>
    <w:rsid w:val="008B430C"/>
    <w:rsid w:val="008B4911"/>
    <w:rsid w:val="008E403D"/>
    <w:rsid w:val="008F1E02"/>
    <w:rsid w:val="008F1F63"/>
    <w:rsid w:val="009059AA"/>
    <w:rsid w:val="00917FE0"/>
    <w:rsid w:val="00926AA3"/>
    <w:rsid w:val="00927A74"/>
    <w:rsid w:val="009504BB"/>
    <w:rsid w:val="00952E5F"/>
    <w:rsid w:val="00957B33"/>
    <w:rsid w:val="00963657"/>
    <w:rsid w:val="00963D13"/>
    <w:rsid w:val="00965C8D"/>
    <w:rsid w:val="009722E1"/>
    <w:rsid w:val="00975876"/>
    <w:rsid w:val="00980C0A"/>
    <w:rsid w:val="0098376D"/>
    <w:rsid w:val="0099141B"/>
    <w:rsid w:val="009936BE"/>
    <w:rsid w:val="009A0222"/>
    <w:rsid w:val="009A434B"/>
    <w:rsid w:val="009A4FB8"/>
    <w:rsid w:val="009A7858"/>
    <w:rsid w:val="009A7BFC"/>
    <w:rsid w:val="009B1C09"/>
    <w:rsid w:val="009C18DD"/>
    <w:rsid w:val="009D0E7C"/>
    <w:rsid w:val="009D4705"/>
    <w:rsid w:val="009E485F"/>
    <w:rsid w:val="009F5860"/>
    <w:rsid w:val="009F6AF5"/>
    <w:rsid w:val="00A03F1D"/>
    <w:rsid w:val="00A07427"/>
    <w:rsid w:val="00A13A3A"/>
    <w:rsid w:val="00A16DDE"/>
    <w:rsid w:val="00A21967"/>
    <w:rsid w:val="00A22CF7"/>
    <w:rsid w:val="00A22E78"/>
    <w:rsid w:val="00A2368C"/>
    <w:rsid w:val="00A25052"/>
    <w:rsid w:val="00A25130"/>
    <w:rsid w:val="00A33253"/>
    <w:rsid w:val="00A37DB3"/>
    <w:rsid w:val="00A433B9"/>
    <w:rsid w:val="00A46104"/>
    <w:rsid w:val="00A51F7A"/>
    <w:rsid w:val="00A5767C"/>
    <w:rsid w:val="00A63DBA"/>
    <w:rsid w:val="00A65AB4"/>
    <w:rsid w:val="00A75540"/>
    <w:rsid w:val="00A760BE"/>
    <w:rsid w:val="00A84EAF"/>
    <w:rsid w:val="00A90651"/>
    <w:rsid w:val="00A90E96"/>
    <w:rsid w:val="00A93103"/>
    <w:rsid w:val="00AA016A"/>
    <w:rsid w:val="00AB3AAF"/>
    <w:rsid w:val="00AC02B4"/>
    <w:rsid w:val="00AC7230"/>
    <w:rsid w:val="00AD6341"/>
    <w:rsid w:val="00AE2D21"/>
    <w:rsid w:val="00AE2DA9"/>
    <w:rsid w:val="00AE4906"/>
    <w:rsid w:val="00AE7D62"/>
    <w:rsid w:val="00AF0599"/>
    <w:rsid w:val="00AF1E6E"/>
    <w:rsid w:val="00AF333A"/>
    <w:rsid w:val="00B014A9"/>
    <w:rsid w:val="00B0176E"/>
    <w:rsid w:val="00B05AB4"/>
    <w:rsid w:val="00B06187"/>
    <w:rsid w:val="00B10AE8"/>
    <w:rsid w:val="00B15ED6"/>
    <w:rsid w:val="00B167AE"/>
    <w:rsid w:val="00B170AC"/>
    <w:rsid w:val="00B33B88"/>
    <w:rsid w:val="00B36272"/>
    <w:rsid w:val="00B51409"/>
    <w:rsid w:val="00B51BB2"/>
    <w:rsid w:val="00B53D6D"/>
    <w:rsid w:val="00B65AB8"/>
    <w:rsid w:val="00B71F79"/>
    <w:rsid w:val="00B72FF4"/>
    <w:rsid w:val="00B743FF"/>
    <w:rsid w:val="00B773A6"/>
    <w:rsid w:val="00B82ACF"/>
    <w:rsid w:val="00B84A07"/>
    <w:rsid w:val="00B864CC"/>
    <w:rsid w:val="00B90D12"/>
    <w:rsid w:val="00BA6562"/>
    <w:rsid w:val="00BB6156"/>
    <w:rsid w:val="00BB72F8"/>
    <w:rsid w:val="00BC3A57"/>
    <w:rsid w:val="00BC3C1D"/>
    <w:rsid w:val="00BC7965"/>
    <w:rsid w:val="00BD18FA"/>
    <w:rsid w:val="00BD3EE3"/>
    <w:rsid w:val="00BE2A9A"/>
    <w:rsid w:val="00BE4AE9"/>
    <w:rsid w:val="00BF0CEA"/>
    <w:rsid w:val="00BF11EC"/>
    <w:rsid w:val="00BF7669"/>
    <w:rsid w:val="00C01F6B"/>
    <w:rsid w:val="00C03688"/>
    <w:rsid w:val="00C25BED"/>
    <w:rsid w:val="00C32B8D"/>
    <w:rsid w:val="00C360F8"/>
    <w:rsid w:val="00C374AD"/>
    <w:rsid w:val="00C43E3B"/>
    <w:rsid w:val="00C453A9"/>
    <w:rsid w:val="00C506FA"/>
    <w:rsid w:val="00C63D97"/>
    <w:rsid w:val="00C67BC1"/>
    <w:rsid w:val="00C803AA"/>
    <w:rsid w:val="00C81B14"/>
    <w:rsid w:val="00C82442"/>
    <w:rsid w:val="00C95010"/>
    <w:rsid w:val="00C95FB2"/>
    <w:rsid w:val="00C96349"/>
    <w:rsid w:val="00CA1F46"/>
    <w:rsid w:val="00CA2577"/>
    <w:rsid w:val="00CB058E"/>
    <w:rsid w:val="00CB0DC0"/>
    <w:rsid w:val="00CB24E8"/>
    <w:rsid w:val="00CB3D3B"/>
    <w:rsid w:val="00CC1360"/>
    <w:rsid w:val="00CC2F5B"/>
    <w:rsid w:val="00CD1F92"/>
    <w:rsid w:val="00CD4739"/>
    <w:rsid w:val="00CE25FE"/>
    <w:rsid w:val="00CE5A74"/>
    <w:rsid w:val="00CF63B3"/>
    <w:rsid w:val="00D06531"/>
    <w:rsid w:val="00D10A58"/>
    <w:rsid w:val="00D124E9"/>
    <w:rsid w:val="00D21B50"/>
    <w:rsid w:val="00D40719"/>
    <w:rsid w:val="00D42815"/>
    <w:rsid w:val="00D45304"/>
    <w:rsid w:val="00D45440"/>
    <w:rsid w:val="00D46617"/>
    <w:rsid w:val="00D468CC"/>
    <w:rsid w:val="00D55BB9"/>
    <w:rsid w:val="00D564A2"/>
    <w:rsid w:val="00D569B9"/>
    <w:rsid w:val="00D70A98"/>
    <w:rsid w:val="00D73EBE"/>
    <w:rsid w:val="00D75D45"/>
    <w:rsid w:val="00D77CBA"/>
    <w:rsid w:val="00D81FD4"/>
    <w:rsid w:val="00D938A9"/>
    <w:rsid w:val="00D9631D"/>
    <w:rsid w:val="00D9731C"/>
    <w:rsid w:val="00DA1078"/>
    <w:rsid w:val="00DA70C1"/>
    <w:rsid w:val="00DB0A00"/>
    <w:rsid w:val="00DB573D"/>
    <w:rsid w:val="00DB6648"/>
    <w:rsid w:val="00DE7202"/>
    <w:rsid w:val="00DF7262"/>
    <w:rsid w:val="00DF7958"/>
    <w:rsid w:val="00E00795"/>
    <w:rsid w:val="00E00F16"/>
    <w:rsid w:val="00E267D8"/>
    <w:rsid w:val="00E306F5"/>
    <w:rsid w:val="00E3314C"/>
    <w:rsid w:val="00E3413F"/>
    <w:rsid w:val="00E4364F"/>
    <w:rsid w:val="00E542C9"/>
    <w:rsid w:val="00E608E0"/>
    <w:rsid w:val="00E65389"/>
    <w:rsid w:val="00E72FA9"/>
    <w:rsid w:val="00E76FF1"/>
    <w:rsid w:val="00E92663"/>
    <w:rsid w:val="00E957B7"/>
    <w:rsid w:val="00EA0036"/>
    <w:rsid w:val="00EC7E9E"/>
    <w:rsid w:val="00ED25C0"/>
    <w:rsid w:val="00ED3A8E"/>
    <w:rsid w:val="00ED5F7A"/>
    <w:rsid w:val="00EE7E18"/>
    <w:rsid w:val="00EF41BC"/>
    <w:rsid w:val="00EF7A00"/>
    <w:rsid w:val="00F065B0"/>
    <w:rsid w:val="00F11B5D"/>
    <w:rsid w:val="00F12B8D"/>
    <w:rsid w:val="00F20D05"/>
    <w:rsid w:val="00F2409C"/>
    <w:rsid w:val="00F26EC7"/>
    <w:rsid w:val="00F42541"/>
    <w:rsid w:val="00F42E93"/>
    <w:rsid w:val="00F42F72"/>
    <w:rsid w:val="00F4303C"/>
    <w:rsid w:val="00F4400D"/>
    <w:rsid w:val="00F52C8F"/>
    <w:rsid w:val="00F533C5"/>
    <w:rsid w:val="00F6000F"/>
    <w:rsid w:val="00F61927"/>
    <w:rsid w:val="00F65D17"/>
    <w:rsid w:val="00F67CB7"/>
    <w:rsid w:val="00F7531B"/>
    <w:rsid w:val="00F75BF4"/>
    <w:rsid w:val="00F84049"/>
    <w:rsid w:val="00F86EED"/>
    <w:rsid w:val="00F91AAD"/>
    <w:rsid w:val="00F96DB5"/>
    <w:rsid w:val="00F97CFE"/>
    <w:rsid w:val="00FA2F30"/>
    <w:rsid w:val="00FB161D"/>
    <w:rsid w:val="00FB7D8A"/>
    <w:rsid w:val="00FC3394"/>
    <w:rsid w:val="00FC3810"/>
    <w:rsid w:val="00FC4CC6"/>
    <w:rsid w:val="00FD2668"/>
    <w:rsid w:val="00FE2B29"/>
    <w:rsid w:val="00FE6855"/>
    <w:rsid w:val="00FF26A1"/>
    <w:rsid w:val="00FF4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3F07DFB7"/>
  <w15:docId w15:val="{D8AFC838-9C17-49F1-83B5-BCC869EA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57"/>
      </w:tabs>
      <w:spacing w:line="280" w:lineRule="atLeast"/>
    </w:pPr>
    <w:rPr>
      <w:rFonts w:ascii="Arial" w:hAnsi="Arial"/>
      <w:lang w:val="en-GB" w:eastAsia="en-GB"/>
    </w:rPr>
  </w:style>
  <w:style w:type="paragraph" w:styleId="Heading1">
    <w:name w:val="heading 1"/>
    <w:next w:val="BodyText"/>
    <w:link w:val="Heading1Char"/>
    <w:qFormat/>
    <w:pPr>
      <w:keepNext/>
      <w:spacing w:after="280" w:line="400" w:lineRule="atLeast"/>
      <w:outlineLvl w:val="0"/>
    </w:pPr>
    <w:rPr>
      <w:rFonts w:ascii="Arial" w:hAnsi="Arial"/>
      <w:noProof/>
      <w:color w:val="16288E"/>
      <w:kern w:val="32"/>
      <w:sz w:val="40"/>
      <w:lang w:val="en-GB" w:eastAsia="en-GB"/>
    </w:rPr>
  </w:style>
  <w:style w:type="paragraph" w:styleId="Heading2">
    <w:name w:val="heading 2"/>
    <w:next w:val="BodyText"/>
    <w:qFormat/>
    <w:pPr>
      <w:keepNext/>
      <w:spacing w:after="60" w:line="280" w:lineRule="atLeast"/>
      <w:outlineLvl w:val="1"/>
    </w:pPr>
    <w:rPr>
      <w:rFonts w:ascii="Arial" w:hAnsi="Arial"/>
      <w:noProof/>
      <w:color w:val="16288E"/>
      <w:sz w:val="28"/>
      <w:lang w:val="en-GB" w:eastAsia="en-GB"/>
    </w:rPr>
  </w:style>
  <w:style w:type="paragraph" w:styleId="Heading3">
    <w:name w:val="heading 3"/>
    <w:next w:val="BodyText"/>
    <w:link w:val="Heading3Char"/>
    <w:qFormat/>
    <w:pPr>
      <w:keepNext/>
      <w:spacing w:line="280" w:lineRule="atLeast"/>
      <w:outlineLvl w:val="2"/>
    </w:pPr>
    <w:rPr>
      <w:rFonts w:ascii="Arial" w:hAnsi="Arial"/>
      <w:b/>
      <w:noProof/>
      <w:color w:val="16288E"/>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style>
  <w:style w:type="character" w:styleId="PageNumber">
    <w:name w:val="page number"/>
    <w:basedOn w:val="DefaultParagraphFont"/>
    <w:semiHidden/>
  </w:style>
  <w:style w:type="paragraph" w:styleId="TOC2">
    <w:name w:val="toc 2"/>
    <w:next w:val="Normal"/>
    <w:autoRedefine/>
    <w:semiHidden/>
    <w:pPr>
      <w:tabs>
        <w:tab w:val="left" w:pos="1134"/>
        <w:tab w:val="left" w:pos="2268"/>
        <w:tab w:val="left" w:pos="2552"/>
        <w:tab w:val="left" w:pos="3119"/>
        <w:tab w:val="right" w:leader="dot" w:pos="8448"/>
      </w:tabs>
      <w:spacing w:before="60" w:after="60"/>
      <w:ind w:left="3119" w:right="1134" w:hanging="1418"/>
    </w:pPr>
    <w:rPr>
      <w:rFonts w:ascii="Arial" w:hAnsi="Arial"/>
      <w:noProof/>
      <w:lang w:val="en-GB" w:eastAsia="en-GB"/>
    </w:rPr>
  </w:style>
  <w:style w:type="paragraph" w:styleId="TOC3">
    <w:name w:val="toc 3"/>
    <w:basedOn w:val="BodyText"/>
    <w:next w:val="Normal"/>
    <w:autoRedefine/>
    <w:semiHidden/>
    <w:pPr>
      <w:tabs>
        <w:tab w:val="left" w:pos="851"/>
        <w:tab w:val="left" w:pos="1134"/>
        <w:tab w:val="left" w:pos="2268"/>
        <w:tab w:val="right" w:leader="dot" w:pos="8448"/>
      </w:tabs>
      <w:spacing w:after="0"/>
      <w:ind w:left="2268" w:right="1134"/>
    </w:pPr>
    <w:rPr>
      <w:noProof/>
    </w:rPr>
  </w:style>
  <w:style w:type="paragraph" w:styleId="BodyText">
    <w:name w:val="Body Text"/>
    <w:basedOn w:val="Normal"/>
    <w:link w:val="BodyTextChar"/>
    <w:pPr>
      <w:spacing w:after="140"/>
      <w:jc w:val="both"/>
    </w:pPr>
  </w:style>
  <w:style w:type="paragraph" w:styleId="TOC4">
    <w:name w:val="toc 4"/>
    <w:basedOn w:val="Normal"/>
    <w:next w:val="Normal"/>
    <w:autoRedefine/>
    <w:semiHidden/>
    <w:pPr>
      <w:tabs>
        <w:tab w:val="right" w:leader="dot" w:pos="8448"/>
        <w:tab w:val="right" w:pos="8505"/>
      </w:tabs>
      <w:ind w:left="2835" w:right="1134"/>
    </w:pPr>
  </w:style>
  <w:style w:type="paragraph" w:customStyle="1" w:styleId="Address">
    <w:name w:val="Address"/>
    <w:pPr>
      <w:spacing w:line="180" w:lineRule="atLeast"/>
    </w:pPr>
    <w:rPr>
      <w:rFonts w:ascii="Arial" w:hAnsi="Arial"/>
      <w:noProof/>
      <w:color w:val="16288E"/>
      <w:sz w:val="16"/>
      <w:lang w:val="en-GB" w:eastAsia="en-GB"/>
    </w:rPr>
  </w:style>
  <w:style w:type="paragraph" w:styleId="EndnoteText">
    <w:name w:val="endnote text"/>
    <w:basedOn w:val="Normal"/>
    <w:semiHidden/>
    <w:pPr>
      <w:spacing w:after="140"/>
    </w:pPr>
  </w:style>
  <w:style w:type="paragraph" w:styleId="EnvelopeAddress">
    <w:name w:val="envelope address"/>
    <w:basedOn w:val="Normal"/>
    <w:semiHidden/>
    <w:pPr>
      <w:framePr w:w="7920" w:h="1980" w:hRule="exact" w:hSpace="180" w:wrap="auto" w:hAnchor="page" w:xAlign="center" w:yAlign="bottom"/>
      <w:ind w:left="2880"/>
    </w:pPr>
  </w:style>
  <w:style w:type="character" w:styleId="FollowedHyperlink">
    <w:name w:val="FollowedHyperlink"/>
    <w:semiHidden/>
    <w:rPr>
      <w:color w:val="808080"/>
      <w:u w:val="none"/>
    </w:rPr>
  </w:style>
  <w:style w:type="paragraph" w:styleId="FootnoteText">
    <w:name w:val="footnote text"/>
    <w:link w:val="FootnoteTextChar"/>
    <w:pPr>
      <w:spacing w:after="100" w:line="200" w:lineRule="atLeast"/>
    </w:pPr>
    <w:rPr>
      <w:rFonts w:ascii="Arial" w:hAnsi="Arial"/>
      <w:noProof/>
      <w:sz w:val="16"/>
      <w:lang w:val="en-GB" w:eastAsia="en-GB"/>
    </w:rPr>
  </w:style>
  <w:style w:type="character" w:styleId="Hyperlink">
    <w:name w:val="Hyperlink"/>
    <w:rPr>
      <w:color w:val="16288E"/>
      <w:u w:val="none"/>
    </w:rPr>
  </w:style>
  <w:style w:type="paragraph" w:customStyle="1" w:styleId="Introduction">
    <w:name w:val="Introduction"/>
    <w:basedOn w:val="BodyText"/>
    <w:next w:val="BodyText"/>
    <w:rPr>
      <w:b/>
      <w:color w:val="16288E"/>
    </w:rPr>
  </w:style>
  <w:style w:type="paragraph" w:styleId="ListBullet">
    <w:name w:val="List Bullet"/>
    <w:basedOn w:val="Normal"/>
    <w:semiHidden/>
    <w:pPr>
      <w:numPr>
        <w:numId w:val="2"/>
      </w:numPr>
      <w:spacing w:after="140"/>
      <w:jc w:val="both"/>
    </w:pPr>
  </w:style>
  <w:style w:type="paragraph" w:styleId="ListNumber">
    <w:name w:val="List Number"/>
    <w:basedOn w:val="Normal"/>
    <w:semiHidden/>
    <w:pPr>
      <w:numPr>
        <w:numId w:val="4"/>
      </w:numPr>
      <w:spacing w:after="140"/>
    </w:pPr>
  </w:style>
  <w:style w:type="paragraph" w:styleId="Title">
    <w:name w:val="Title"/>
    <w:qFormat/>
    <w:pPr>
      <w:spacing w:line="480" w:lineRule="atLeast"/>
      <w:outlineLvl w:val="0"/>
    </w:pPr>
    <w:rPr>
      <w:rFonts w:ascii="Arial" w:hAnsi="Arial"/>
      <w:noProof/>
      <w:color w:val="16288E"/>
      <w:kern w:val="28"/>
      <w:sz w:val="48"/>
      <w:lang w:val="en-GB" w:eastAsia="en-GB"/>
    </w:rPr>
  </w:style>
  <w:style w:type="character" w:styleId="FootnoteReference">
    <w:name w:val="footnote reference"/>
    <w:aliases w:val="stylish"/>
    <w:rsid w:val="007E79A7"/>
    <w:rPr>
      <w:vertAlign w:val="superscript"/>
    </w:rPr>
  </w:style>
  <w:style w:type="paragraph" w:customStyle="1" w:styleId="CarCar">
    <w:name w:val="Car Car"/>
    <w:basedOn w:val="Normal"/>
    <w:rsid w:val="008B0456"/>
    <w:pPr>
      <w:tabs>
        <w:tab w:val="clear" w:pos="357"/>
      </w:tabs>
      <w:spacing w:after="160" w:line="240" w:lineRule="exact"/>
    </w:pPr>
    <w:rPr>
      <w:rFonts w:ascii="Tahoma" w:hAnsi="Tahoma"/>
      <w:lang w:val="en-US" w:eastAsia="en-US"/>
    </w:rPr>
  </w:style>
  <w:style w:type="paragraph" w:customStyle="1" w:styleId="articletext">
    <w:name w:val="articletext"/>
    <w:basedOn w:val="Normal"/>
    <w:uiPriority w:val="99"/>
    <w:rsid w:val="008B0456"/>
    <w:pPr>
      <w:tabs>
        <w:tab w:val="clear" w:pos="357"/>
      </w:tabs>
      <w:spacing w:before="100" w:beforeAutospacing="1" w:after="100" w:afterAutospacing="1" w:line="240" w:lineRule="auto"/>
    </w:pPr>
    <w:rPr>
      <w:rFonts w:ascii="Times New Roman" w:eastAsia="MS Mincho" w:hAnsi="Times New Roman"/>
      <w:sz w:val="24"/>
      <w:szCs w:val="24"/>
      <w:lang w:val="en-US" w:eastAsia="ja-JP"/>
    </w:rPr>
  </w:style>
  <w:style w:type="character" w:customStyle="1" w:styleId="Heading1Char">
    <w:name w:val="Heading 1 Char"/>
    <w:link w:val="Heading1"/>
    <w:rsid w:val="00D468CC"/>
    <w:rPr>
      <w:rFonts w:ascii="Arial" w:hAnsi="Arial"/>
      <w:noProof/>
      <w:color w:val="16288E"/>
      <w:kern w:val="32"/>
      <w:sz w:val="40"/>
    </w:rPr>
  </w:style>
  <w:style w:type="paragraph" w:styleId="NormalWeb">
    <w:name w:val="Normal (Web)"/>
    <w:basedOn w:val="Normal"/>
    <w:uiPriority w:val="99"/>
    <w:semiHidden/>
    <w:unhideWhenUsed/>
    <w:rsid w:val="00D45304"/>
    <w:pPr>
      <w:tabs>
        <w:tab w:val="clear" w:pos="357"/>
      </w:tabs>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D45304"/>
    <w:rPr>
      <w:b/>
      <w:bCs/>
    </w:rPr>
  </w:style>
  <w:style w:type="character" w:styleId="IntenseEmphasis">
    <w:name w:val="Intense Emphasis"/>
    <w:uiPriority w:val="21"/>
    <w:qFormat/>
    <w:rsid w:val="000E6EF4"/>
    <w:rPr>
      <w:b/>
      <w:bCs/>
      <w:i/>
      <w:iCs/>
      <w:color w:val="4F81BD"/>
    </w:rPr>
  </w:style>
  <w:style w:type="character" w:customStyle="1" w:styleId="Heading3Char">
    <w:name w:val="Heading 3 Char"/>
    <w:link w:val="Heading3"/>
    <w:rsid w:val="0077750F"/>
    <w:rPr>
      <w:rFonts w:ascii="Arial" w:hAnsi="Arial"/>
      <w:b/>
      <w:noProof/>
      <w:color w:val="16288E"/>
    </w:rPr>
  </w:style>
  <w:style w:type="character" w:customStyle="1" w:styleId="BodyTextChar">
    <w:name w:val="Body Text Char"/>
    <w:link w:val="BodyText"/>
    <w:rsid w:val="0077750F"/>
    <w:rPr>
      <w:rFonts w:ascii="Arial" w:hAnsi="Arial"/>
    </w:rPr>
  </w:style>
  <w:style w:type="character" w:styleId="CommentReference">
    <w:name w:val="annotation reference"/>
    <w:uiPriority w:val="99"/>
    <w:semiHidden/>
    <w:unhideWhenUsed/>
    <w:rsid w:val="00BD3EE3"/>
    <w:rPr>
      <w:sz w:val="16"/>
      <w:szCs w:val="16"/>
    </w:rPr>
  </w:style>
  <w:style w:type="paragraph" w:styleId="CommentText">
    <w:name w:val="annotation text"/>
    <w:basedOn w:val="Normal"/>
    <w:link w:val="CommentTextChar"/>
    <w:uiPriority w:val="99"/>
    <w:semiHidden/>
    <w:unhideWhenUsed/>
    <w:rsid w:val="00BD3EE3"/>
  </w:style>
  <w:style w:type="character" w:customStyle="1" w:styleId="CommentTextChar">
    <w:name w:val="Comment Text Char"/>
    <w:link w:val="CommentText"/>
    <w:uiPriority w:val="99"/>
    <w:semiHidden/>
    <w:rsid w:val="00BD3EE3"/>
    <w:rPr>
      <w:rFonts w:ascii="Arial" w:hAnsi="Arial"/>
    </w:rPr>
  </w:style>
  <w:style w:type="paragraph" w:styleId="CommentSubject">
    <w:name w:val="annotation subject"/>
    <w:basedOn w:val="CommentText"/>
    <w:next w:val="CommentText"/>
    <w:link w:val="CommentSubjectChar"/>
    <w:uiPriority w:val="99"/>
    <w:semiHidden/>
    <w:unhideWhenUsed/>
    <w:rsid w:val="00BD3EE3"/>
    <w:rPr>
      <w:b/>
      <w:bCs/>
    </w:rPr>
  </w:style>
  <w:style w:type="character" w:customStyle="1" w:styleId="CommentSubjectChar">
    <w:name w:val="Comment Subject Char"/>
    <w:link w:val="CommentSubject"/>
    <w:uiPriority w:val="99"/>
    <w:semiHidden/>
    <w:rsid w:val="00BD3EE3"/>
    <w:rPr>
      <w:rFonts w:ascii="Arial" w:hAnsi="Arial"/>
      <w:b/>
      <w:bCs/>
    </w:rPr>
  </w:style>
  <w:style w:type="paragraph" w:styleId="Revision">
    <w:name w:val="Revision"/>
    <w:hidden/>
    <w:uiPriority w:val="99"/>
    <w:semiHidden/>
    <w:rsid w:val="00BD3EE3"/>
    <w:rPr>
      <w:rFonts w:ascii="Arial" w:hAnsi="Arial"/>
      <w:lang w:val="en-GB" w:eastAsia="en-GB"/>
    </w:rPr>
  </w:style>
  <w:style w:type="paragraph" w:styleId="BalloonText">
    <w:name w:val="Balloon Text"/>
    <w:basedOn w:val="Normal"/>
    <w:link w:val="BalloonTextChar"/>
    <w:uiPriority w:val="99"/>
    <w:semiHidden/>
    <w:unhideWhenUsed/>
    <w:rsid w:val="00BD3EE3"/>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BD3EE3"/>
    <w:rPr>
      <w:rFonts w:ascii="Tahoma" w:hAnsi="Tahoma" w:cs="Tahoma"/>
      <w:sz w:val="16"/>
      <w:szCs w:val="16"/>
    </w:rPr>
  </w:style>
  <w:style w:type="character" w:customStyle="1" w:styleId="hps">
    <w:name w:val="hps"/>
    <w:basedOn w:val="DefaultParagraphFont"/>
    <w:rsid w:val="00794E11"/>
  </w:style>
  <w:style w:type="paragraph" w:customStyle="1" w:styleId="RKnormal">
    <w:name w:val="RKnormal"/>
    <w:basedOn w:val="Normal"/>
    <w:link w:val="RKnormalChar"/>
    <w:qFormat/>
    <w:rsid w:val="00794E11"/>
    <w:pPr>
      <w:tabs>
        <w:tab w:val="clear" w:pos="357"/>
        <w:tab w:val="left" w:pos="709"/>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794E11"/>
    <w:rPr>
      <w:rFonts w:ascii="OrigGarmnd BT" w:hAnsi="OrigGarmnd BT"/>
      <w:sz w:val="24"/>
      <w:lang w:val="sv-SE"/>
    </w:rPr>
  </w:style>
  <w:style w:type="paragraph" w:styleId="ListParagraph">
    <w:name w:val="List Paragraph"/>
    <w:basedOn w:val="Normal"/>
    <w:uiPriority w:val="99"/>
    <w:qFormat/>
    <w:rsid w:val="008F1E02"/>
    <w:pPr>
      <w:ind w:left="720"/>
      <w:contextualSpacing/>
    </w:pPr>
  </w:style>
  <w:style w:type="character" w:customStyle="1" w:styleId="FootnoteTextChar">
    <w:name w:val="Footnote Text Char"/>
    <w:link w:val="FootnoteText"/>
    <w:locked/>
    <w:rsid w:val="00542BC8"/>
    <w:rPr>
      <w:rFonts w:ascii="Arial" w:hAnsi="Arial"/>
      <w:noProof/>
      <w:sz w:val="16"/>
      <w:lang w:val="en-GB" w:eastAsia="en-GB"/>
    </w:rPr>
  </w:style>
  <w:style w:type="character" w:customStyle="1" w:styleId="FooterChar">
    <w:name w:val="Footer Char"/>
    <w:basedOn w:val="DefaultParagraphFont"/>
    <w:link w:val="Footer"/>
    <w:uiPriority w:val="99"/>
    <w:rsid w:val="00BF0CEA"/>
    <w:rPr>
      <w:rFonts w:ascii="Arial" w:hAnsi="Arial"/>
      <w:lang w:val="en-GB" w:eastAsia="en-GB"/>
    </w:rPr>
  </w:style>
  <w:style w:type="character" w:styleId="EndnoteReference">
    <w:name w:val="endnote reference"/>
    <w:basedOn w:val="DefaultParagraphFont"/>
    <w:uiPriority w:val="99"/>
    <w:semiHidden/>
    <w:unhideWhenUsed/>
    <w:rsid w:val="00A63DBA"/>
    <w:rPr>
      <w:vertAlign w:val="superscript"/>
    </w:rPr>
  </w:style>
  <w:style w:type="table" w:styleId="TableGrid">
    <w:name w:val="Table Grid"/>
    <w:basedOn w:val="TableNormal"/>
    <w:uiPriority w:val="59"/>
    <w:rsid w:val="00D5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1FD4"/>
    <w:rPr>
      <w:color w:val="605E5C"/>
      <w:shd w:val="clear" w:color="auto" w:fill="E1DFDD"/>
    </w:rPr>
  </w:style>
  <w:style w:type="character" w:styleId="UnresolvedMention">
    <w:name w:val="Unresolved Mention"/>
    <w:basedOn w:val="DefaultParagraphFont"/>
    <w:uiPriority w:val="99"/>
    <w:semiHidden/>
    <w:unhideWhenUsed/>
    <w:rsid w:val="00211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1740">
      <w:bodyDiv w:val="1"/>
      <w:marLeft w:val="0"/>
      <w:marRight w:val="0"/>
      <w:marTop w:val="0"/>
      <w:marBottom w:val="0"/>
      <w:divBdr>
        <w:top w:val="none" w:sz="0" w:space="0" w:color="auto"/>
        <w:left w:val="none" w:sz="0" w:space="0" w:color="auto"/>
        <w:bottom w:val="none" w:sz="0" w:space="0" w:color="auto"/>
        <w:right w:val="none" w:sz="0" w:space="0" w:color="auto"/>
      </w:divBdr>
    </w:div>
    <w:div w:id="361446041">
      <w:bodyDiv w:val="1"/>
      <w:marLeft w:val="0"/>
      <w:marRight w:val="0"/>
      <w:marTop w:val="0"/>
      <w:marBottom w:val="0"/>
      <w:divBdr>
        <w:top w:val="none" w:sz="0" w:space="0" w:color="auto"/>
        <w:left w:val="none" w:sz="0" w:space="0" w:color="auto"/>
        <w:bottom w:val="none" w:sz="0" w:space="0" w:color="auto"/>
        <w:right w:val="none" w:sz="0" w:space="0" w:color="auto"/>
      </w:divBdr>
    </w:div>
    <w:div w:id="400518072">
      <w:bodyDiv w:val="1"/>
      <w:marLeft w:val="0"/>
      <w:marRight w:val="0"/>
      <w:marTop w:val="0"/>
      <w:marBottom w:val="0"/>
      <w:divBdr>
        <w:top w:val="none" w:sz="0" w:space="0" w:color="auto"/>
        <w:left w:val="none" w:sz="0" w:space="0" w:color="auto"/>
        <w:bottom w:val="none" w:sz="0" w:space="0" w:color="auto"/>
        <w:right w:val="none" w:sz="0" w:space="0" w:color="auto"/>
      </w:divBdr>
      <w:divsChild>
        <w:div w:id="1555122859">
          <w:marLeft w:val="0"/>
          <w:marRight w:val="0"/>
          <w:marTop w:val="0"/>
          <w:marBottom w:val="0"/>
          <w:divBdr>
            <w:top w:val="none" w:sz="0" w:space="0" w:color="auto"/>
            <w:left w:val="none" w:sz="0" w:space="0" w:color="auto"/>
            <w:bottom w:val="none" w:sz="0" w:space="0" w:color="auto"/>
            <w:right w:val="none" w:sz="0" w:space="0" w:color="auto"/>
          </w:divBdr>
          <w:divsChild>
            <w:div w:id="1733772832">
              <w:marLeft w:val="0"/>
              <w:marRight w:val="0"/>
              <w:marTop w:val="0"/>
              <w:marBottom w:val="0"/>
              <w:divBdr>
                <w:top w:val="none" w:sz="0" w:space="0" w:color="auto"/>
                <w:left w:val="none" w:sz="0" w:space="0" w:color="auto"/>
                <w:bottom w:val="none" w:sz="0" w:space="0" w:color="auto"/>
                <w:right w:val="none" w:sz="0" w:space="0" w:color="auto"/>
              </w:divBdr>
              <w:divsChild>
                <w:div w:id="1053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900379">
      <w:bodyDiv w:val="1"/>
      <w:marLeft w:val="0"/>
      <w:marRight w:val="0"/>
      <w:marTop w:val="0"/>
      <w:marBottom w:val="0"/>
      <w:divBdr>
        <w:top w:val="none" w:sz="0" w:space="0" w:color="auto"/>
        <w:left w:val="none" w:sz="0" w:space="0" w:color="auto"/>
        <w:bottom w:val="none" w:sz="0" w:space="0" w:color="auto"/>
        <w:right w:val="none" w:sz="0" w:space="0" w:color="auto"/>
      </w:divBdr>
    </w:div>
    <w:div w:id="1205168249">
      <w:bodyDiv w:val="1"/>
      <w:marLeft w:val="0"/>
      <w:marRight w:val="0"/>
      <w:marTop w:val="0"/>
      <w:marBottom w:val="0"/>
      <w:divBdr>
        <w:top w:val="none" w:sz="0" w:space="0" w:color="auto"/>
        <w:left w:val="none" w:sz="0" w:space="0" w:color="auto"/>
        <w:bottom w:val="none" w:sz="0" w:space="0" w:color="auto"/>
        <w:right w:val="none" w:sz="0" w:space="0" w:color="auto"/>
      </w:divBdr>
    </w:div>
    <w:div w:id="1284001419">
      <w:bodyDiv w:val="1"/>
      <w:marLeft w:val="0"/>
      <w:marRight w:val="0"/>
      <w:marTop w:val="0"/>
      <w:marBottom w:val="0"/>
      <w:divBdr>
        <w:top w:val="none" w:sz="0" w:space="0" w:color="auto"/>
        <w:left w:val="none" w:sz="0" w:space="0" w:color="auto"/>
        <w:bottom w:val="none" w:sz="0" w:space="0" w:color="auto"/>
        <w:right w:val="none" w:sz="0" w:space="0" w:color="auto"/>
      </w:divBdr>
    </w:div>
    <w:div w:id="1298611060">
      <w:bodyDiv w:val="1"/>
      <w:marLeft w:val="0"/>
      <w:marRight w:val="0"/>
      <w:marTop w:val="0"/>
      <w:marBottom w:val="0"/>
      <w:divBdr>
        <w:top w:val="none" w:sz="0" w:space="0" w:color="auto"/>
        <w:left w:val="none" w:sz="0" w:space="0" w:color="auto"/>
        <w:bottom w:val="none" w:sz="0" w:space="0" w:color="auto"/>
        <w:right w:val="none" w:sz="0" w:space="0" w:color="auto"/>
      </w:divBdr>
    </w:div>
    <w:div w:id="1385330598">
      <w:bodyDiv w:val="1"/>
      <w:marLeft w:val="0"/>
      <w:marRight w:val="0"/>
      <w:marTop w:val="0"/>
      <w:marBottom w:val="0"/>
      <w:divBdr>
        <w:top w:val="none" w:sz="0" w:space="0" w:color="auto"/>
        <w:left w:val="none" w:sz="0" w:space="0" w:color="auto"/>
        <w:bottom w:val="none" w:sz="0" w:space="0" w:color="auto"/>
        <w:right w:val="none" w:sz="0" w:space="0" w:color="auto"/>
      </w:divBdr>
    </w:div>
    <w:div w:id="1441146897">
      <w:bodyDiv w:val="1"/>
      <w:marLeft w:val="0"/>
      <w:marRight w:val="0"/>
      <w:marTop w:val="0"/>
      <w:marBottom w:val="0"/>
      <w:divBdr>
        <w:top w:val="none" w:sz="0" w:space="0" w:color="auto"/>
        <w:left w:val="none" w:sz="0" w:space="0" w:color="auto"/>
        <w:bottom w:val="none" w:sz="0" w:space="0" w:color="auto"/>
        <w:right w:val="none" w:sz="0" w:space="0" w:color="auto"/>
      </w:divBdr>
    </w:div>
    <w:div w:id="1500926531">
      <w:bodyDiv w:val="1"/>
      <w:marLeft w:val="0"/>
      <w:marRight w:val="0"/>
      <w:marTop w:val="0"/>
      <w:marBottom w:val="0"/>
      <w:divBdr>
        <w:top w:val="none" w:sz="0" w:space="0" w:color="auto"/>
        <w:left w:val="none" w:sz="0" w:space="0" w:color="auto"/>
        <w:bottom w:val="none" w:sz="0" w:space="0" w:color="auto"/>
        <w:right w:val="none" w:sz="0" w:space="0" w:color="auto"/>
      </w:divBdr>
    </w:div>
    <w:div w:id="1598711154">
      <w:bodyDiv w:val="1"/>
      <w:marLeft w:val="0"/>
      <w:marRight w:val="0"/>
      <w:marTop w:val="0"/>
      <w:marBottom w:val="0"/>
      <w:divBdr>
        <w:top w:val="none" w:sz="0" w:space="0" w:color="auto"/>
        <w:left w:val="none" w:sz="0" w:space="0" w:color="auto"/>
        <w:bottom w:val="none" w:sz="0" w:space="0" w:color="auto"/>
        <w:right w:val="none" w:sz="0" w:space="0" w:color="auto"/>
      </w:divBdr>
    </w:div>
    <w:div w:id="21335904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ritchie@ospar.org" TargetMode="External"/><Relationship Id="rId13" Type="http://schemas.openxmlformats.org/officeDocument/2006/relationships/hyperlink" Target="https://www.ospar.org/documents?d=32703"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spar.org/organisation/observe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spar.org/"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ospar.org/site/assets/files/1200/strategy_part_1__north-east_atlantic_2030_updated.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98-03e_decision_disposal_disused_offshore_installations.doc" TargetMode="External"/><Relationship Id="rId14" Type="http://schemas.openxmlformats.org/officeDocument/2006/relationships/hyperlink" Target="https://odims.ospar.org/en/submissions/ospar_offshore_installations_2019_0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545545-6FC9-40D0-8EFE-A280DDAF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834</TotalTime>
  <Pages>3</Pages>
  <Words>919</Words>
  <Characters>5919</Characters>
  <Application>Microsoft Office Word</Application>
  <DocSecurity>0</DocSecurity>
  <Lines>49</Lines>
  <Paragraphs>13</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OSPAR</Company>
  <LinksUpToDate>false</LinksUpToDate>
  <CharactersWithSpaces>6825</CharactersWithSpaces>
  <SharedDoc>false</SharedDoc>
  <HLinks>
    <vt:vector size="36" baseType="variant">
      <vt:variant>
        <vt:i4>3801128</vt:i4>
      </vt:variant>
      <vt:variant>
        <vt:i4>12</vt:i4>
      </vt:variant>
      <vt:variant>
        <vt:i4>0</vt:i4>
      </vt:variant>
      <vt:variant>
        <vt:i4>5</vt:i4>
      </vt:variant>
      <vt:variant>
        <vt:lpwstr>http://qsr2010.ospar.org/en/index.html</vt:lpwstr>
      </vt:variant>
      <vt:variant>
        <vt:lpwstr/>
      </vt:variant>
      <vt:variant>
        <vt:i4>5111838</vt:i4>
      </vt:variant>
      <vt:variant>
        <vt:i4>9</vt:i4>
      </vt:variant>
      <vt:variant>
        <vt:i4>0</vt:i4>
      </vt:variant>
      <vt:variant>
        <vt:i4>5</vt:i4>
      </vt:variant>
      <vt:variant>
        <vt:lpwstr>http://www.ospar.org</vt:lpwstr>
      </vt:variant>
      <vt:variant>
        <vt:lpwstr/>
      </vt:variant>
      <vt:variant>
        <vt:i4>6750289</vt:i4>
      </vt:variant>
      <vt:variant>
        <vt:i4>6</vt:i4>
      </vt:variant>
      <vt:variant>
        <vt:i4>0</vt:i4>
      </vt:variant>
      <vt:variant>
        <vt:i4>5</vt:i4>
      </vt:variant>
      <vt:variant>
        <vt:lpwstr>https://mail.ospar.org/exchweb/bin/redir.asp?URL=http://www.ospar.org/content/content.asp?menu=0016</vt:lpwstr>
      </vt:variant>
      <vt:variant>
        <vt:lpwstr/>
      </vt:variant>
      <vt:variant>
        <vt:i4>5111857</vt:i4>
      </vt:variant>
      <vt:variant>
        <vt:i4>3</vt:i4>
      </vt:variant>
      <vt:variant>
        <vt:i4>0</vt:i4>
      </vt:variant>
      <vt:variant>
        <vt:i4>5</vt:i4>
      </vt:variant>
      <vt:variant>
        <vt:lpwstr>http://www.ospar.org/</vt:lpwstr>
      </vt:variant>
      <vt:variant>
        <vt:lpwstr/>
      </vt:variant>
      <vt:variant>
        <vt:i4>786519</vt:i4>
      </vt:variant>
      <vt:variant>
        <vt:i4>0</vt:i4>
      </vt:variant>
      <vt:variant>
        <vt:i4>0</vt:i4>
      </vt:variant>
      <vt:variant>
        <vt:i4>5</vt:i4>
      </vt:variant>
      <vt:variant>
        <vt:lpwstr>mailto:audrey.baconnais-rosez@ospar.org</vt:lpwstr>
      </vt:variant>
      <vt:variant>
        <vt:lpwstr/>
      </vt:variant>
      <vt:variant>
        <vt:i4>6881332</vt:i4>
      </vt:variant>
      <vt:variant>
        <vt:i4>-1</vt:i4>
      </vt:variant>
      <vt:variant>
        <vt:i4>1028</vt:i4>
      </vt:variant>
      <vt:variant>
        <vt:i4>1</vt:i4>
      </vt:variant>
      <vt:variant>
        <vt:lpwstr>OSPAR_A4_rgb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Corinne Michel</dc:creator>
  <cp:lastModifiedBy>Laura de la Torre</cp:lastModifiedBy>
  <cp:revision>15</cp:revision>
  <cp:lastPrinted>2021-11-05T15:39:00Z</cp:lastPrinted>
  <dcterms:created xsi:type="dcterms:W3CDTF">2019-10-21T09:11:00Z</dcterms:created>
  <dcterms:modified xsi:type="dcterms:W3CDTF">2021-11-05T16:02:00Z</dcterms:modified>
</cp:coreProperties>
</file>