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85" w:type="dxa"/>
          <w:left w:w="0" w:type="dxa"/>
          <w:bottom w:w="85" w:type="dxa"/>
          <w:right w:w="0" w:type="dxa"/>
        </w:tblCellMar>
        <w:tblLook w:val="0000" w:firstRow="0" w:lastRow="0" w:firstColumn="0" w:lastColumn="0" w:noHBand="0" w:noVBand="0"/>
      </w:tblPr>
      <w:tblGrid>
        <w:gridCol w:w="4049"/>
        <w:gridCol w:w="5590"/>
      </w:tblGrid>
      <w:tr w:rsidR="00190F33" w:rsidRPr="00FD5447" w14:paraId="3D5E5371" w14:textId="77777777" w:rsidTr="006134F4">
        <w:trPr>
          <w:trHeight w:val="284"/>
        </w:trPr>
        <w:tc>
          <w:tcPr>
            <w:tcW w:w="4049" w:type="dxa"/>
            <w:shd w:val="clear" w:color="auto" w:fill="auto"/>
          </w:tcPr>
          <w:p w14:paraId="7E3009C6" w14:textId="77777777" w:rsidR="00190F33" w:rsidRPr="00FD5447" w:rsidRDefault="00190F33" w:rsidP="006134F4">
            <w:pPr>
              <w:pStyle w:val="Titre"/>
              <w:rPr>
                <w:rFonts w:ascii="Calibri" w:hAnsi="Calibri" w:cs="Calibri"/>
              </w:rPr>
            </w:pPr>
            <w:bookmarkStart w:id="0" w:name="_Hlk164341560"/>
            <w:r w:rsidRPr="00FD5447">
              <w:rPr>
                <w:rFonts w:ascii="Calibri" w:hAnsi="Calibri" w:cs="Calibri"/>
                <w:szCs w:val="24"/>
                <w:lang w:eastAsia="en-GB"/>
              </w:rPr>
              <w:t xml:space="preserve">Agenda Item </w:t>
            </w:r>
            <w:r>
              <w:rPr>
                <w:rFonts w:ascii="Calibri" w:hAnsi="Calibri" w:cs="Calibri"/>
                <w:szCs w:val="24"/>
                <w:lang w:eastAsia="en-GB"/>
              </w:rPr>
              <w:t>11</w:t>
            </w:r>
          </w:p>
        </w:tc>
        <w:tc>
          <w:tcPr>
            <w:tcW w:w="5590" w:type="dxa"/>
            <w:shd w:val="clear" w:color="auto" w:fill="auto"/>
          </w:tcPr>
          <w:p w14:paraId="13F3F5EE" w14:textId="77777777" w:rsidR="00190F33" w:rsidRPr="00FD5447" w:rsidRDefault="00190F33" w:rsidP="006134F4">
            <w:pPr>
              <w:pStyle w:val="Titre"/>
              <w:jc w:val="right"/>
              <w:rPr>
                <w:rFonts w:ascii="Calibri" w:hAnsi="Calibri" w:cs="Calibri"/>
              </w:rPr>
            </w:pPr>
            <w:bookmarkStart w:id="1" w:name="_Hlk163461132"/>
            <w:r w:rsidRPr="00FD5447">
              <w:rPr>
                <w:rFonts w:ascii="Calibri" w:hAnsi="Calibri" w:cs="Calibri"/>
                <w:szCs w:val="24"/>
                <w:lang w:eastAsia="en-GB"/>
              </w:rPr>
              <w:t>EIHA 24/</w:t>
            </w:r>
            <w:r>
              <w:rPr>
                <w:rFonts w:ascii="Calibri" w:hAnsi="Calibri" w:cs="Calibri"/>
                <w:szCs w:val="24"/>
                <w:lang w:eastAsia="en-GB"/>
              </w:rPr>
              <w:t>11</w:t>
            </w:r>
            <w:r w:rsidRPr="00FD5447">
              <w:rPr>
                <w:rFonts w:ascii="Calibri" w:hAnsi="Calibri" w:cs="Calibri"/>
                <w:szCs w:val="24"/>
                <w:lang w:eastAsia="en-GB"/>
              </w:rPr>
              <w:t>/0</w:t>
            </w:r>
            <w:r>
              <w:rPr>
                <w:rFonts w:ascii="Calibri" w:hAnsi="Calibri" w:cs="Calibri"/>
                <w:szCs w:val="24"/>
                <w:lang w:eastAsia="en-GB"/>
              </w:rPr>
              <w:t>1-Annex.03</w:t>
            </w:r>
          </w:p>
          <w:bookmarkEnd w:id="1"/>
          <w:p w14:paraId="112E6ED3" w14:textId="77777777" w:rsidR="00190F33" w:rsidRPr="00FD5447" w:rsidRDefault="00190F33" w:rsidP="006134F4">
            <w:pPr>
              <w:pStyle w:val="Titre"/>
              <w:jc w:val="right"/>
              <w:rPr>
                <w:rFonts w:ascii="Calibri" w:hAnsi="Calibri" w:cs="Calibri"/>
              </w:rPr>
            </w:pPr>
            <w:r>
              <w:rPr>
                <w:rFonts w:ascii="Calibri" w:hAnsi="Calibri" w:cs="Calibri"/>
                <w:szCs w:val="24"/>
                <w:lang w:eastAsia="en-GB"/>
              </w:rPr>
              <w:t>Original English</w:t>
            </w:r>
            <w:r w:rsidRPr="00FD5447">
              <w:rPr>
                <w:rFonts w:ascii="Calibri" w:hAnsi="Calibri" w:cs="Calibri"/>
                <w:szCs w:val="24"/>
                <w:lang w:eastAsia="en-GB"/>
              </w:rPr>
              <w:t xml:space="preserve"> </w:t>
            </w:r>
          </w:p>
        </w:tc>
      </w:tr>
      <w:tr w:rsidR="00190F33" w:rsidRPr="00FD5447" w14:paraId="21430147" w14:textId="77777777" w:rsidTr="006134F4">
        <w:trPr>
          <w:trHeight w:val="284"/>
        </w:trPr>
        <w:tc>
          <w:tcPr>
            <w:tcW w:w="9639" w:type="dxa"/>
            <w:gridSpan w:val="2"/>
            <w:shd w:val="clear" w:color="auto" w:fill="auto"/>
          </w:tcPr>
          <w:p w14:paraId="66B3F821" w14:textId="77777777" w:rsidR="00190F33" w:rsidRPr="00FD5447" w:rsidRDefault="00190F33" w:rsidP="006134F4">
            <w:pPr>
              <w:pStyle w:val="Titre"/>
              <w:jc w:val="both"/>
              <w:rPr>
                <w:rFonts w:ascii="Calibri" w:hAnsi="Calibri" w:cs="Calibri"/>
              </w:rPr>
            </w:pPr>
            <w:r w:rsidRPr="00FD5447">
              <w:rPr>
                <w:rFonts w:ascii="Calibri" w:hAnsi="Calibri" w:cs="Calibri"/>
                <w:szCs w:val="24"/>
                <w:lang w:eastAsia="en-GB"/>
              </w:rPr>
              <w:t>OSPAR Convention for the Protection of the Marine Environment of the North-East Atlantic</w:t>
            </w:r>
          </w:p>
        </w:tc>
      </w:tr>
      <w:tr w:rsidR="00190F33" w:rsidRPr="00FD5447" w14:paraId="065C6E6F" w14:textId="77777777" w:rsidTr="006134F4">
        <w:trPr>
          <w:trHeight w:val="284"/>
        </w:trPr>
        <w:tc>
          <w:tcPr>
            <w:tcW w:w="9639" w:type="dxa"/>
            <w:gridSpan w:val="2"/>
            <w:tcBorders>
              <w:bottom w:val="single" w:sz="4" w:space="0" w:color="808080"/>
            </w:tcBorders>
            <w:shd w:val="clear" w:color="auto" w:fill="auto"/>
          </w:tcPr>
          <w:p w14:paraId="2294BADD" w14:textId="77777777" w:rsidR="00190F33" w:rsidRPr="00FD5447" w:rsidRDefault="00190F33" w:rsidP="006134F4">
            <w:pPr>
              <w:pStyle w:val="Titre"/>
              <w:rPr>
                <w:rFonts w:ascii="Calibri" w:hAnsi="Calibri" w:cs="Calibri"/>
              </w:rPr>
            </w:pPr>
            <w:r w:rsidRPr="00FD5447">
              <w:rPr>
                <w:rFonts w:ascii="Calibri" w:hAnsi="Calibri" w:cs="Calibri"/>
                <w:szCs w:val="24"/>
                <w:lang w:eastAsia="en-GB"/>
              </w:rPr>
              <w:t xml:space="preserve">Meeting of the Environmental Impact of Human Activities Committee (EIHA) </w:t>
            </w:r>
          </w:p>
          <w:p w14:paraId="3ED1815C" w14:textId="77777777" w:rsidR="00190F33" w:rsidRPr="00FD5447" w:rsidRDefault="00190F33" w:rsidP="006134F4">
            <w:pPr>
              <w:pStyle w:val="Titre"/>
              <w:spacing w:before="120"/>
              <w:rPr>
                <w:rFonts w:ascii="Calibri" w:hAnsi="Calibri" w:cs="Calibri"/>
                <w:szCs w:val="24"/>
                <w:lang w:eastAsia="en-GB"/>
              </w:rPr>
            </w:pPr>
            <w:r w:rsidRPr="00FD5447">
              <w:rPr>
                <w:rFonts w:ascii="Calibri" w:hAnsi="Calibri" w:cs="Calibri"/>
                <w:szCs w:val="24"/>
                <w:lang w:eastAsia="en-GB"/>
              </w:rPr>
              <w:t>Madrid (Spain) and on-line: 15-19 April 2024</w:t>
            </w:r>
          </w:p>
        </w:tc>
      </w:tr>
      <w:bookmarkEnd w:id="0"/>
    </w:tbl>
    <w:p w14:paraId="7656E22F" w14:textId="77777777" w:rsidR="00190F33" w:rsidRDefault="00190F33" w:rsidP="0058760F">
      <w:pPr>
        <w:pStyle w:val="Title"/>
        <w:rPr>
          <w:rFonts w:asciiTheme="minorHAnsi" w:hAnsiTheme="minorHAnsi" w:cstheme="minorHAnsi"/>
          <w:b/>
          <w:bCs/>
          <w:sz w:val="28"/>
          <w:szCs w:val="28"/>
        </w:rPr>
      </w:pPr>
    </w:p>
    <w:p w14:paraId="2F15790A" w14:textId="08030156" w:rsidR="0058760F" w:rsidRPr="00190F33" w:rsidRDefault="0058760F" w:rsidP="00190F33">
      <w:pPr>
        <w:tabs>
          <w:tab w:val="clear" w:pos="567"/>
          <w:tab w:val="clear" w:pos="1134"/>
          <w:tab w:val="clear" w:pos="1701"/>
          <w:tab w:val="clear" w:pos="2268"/>
          <w:tab w:val="left" w:pos="720"/>
        </w:tabs>
        <w:spacing w:after="0" w:line="280" w:lineRule="atLeast"/>
        <w:jc w:val="left"/>
        <w:rPr>
          <w:rFonts w:cs="Arial"/>
          <w:sz w:val="40"/>
          <w:szCs w:val="40"/>
          <w:lang w:val="en-US"/>
        </w:rPr>
      </w:pPr>
      <w:r w:rsidRPr="00190F33">
        <w:rPr>
          <w:rFonts w:cs="Arial"/>
          <w:sz w:val="40"/>
          <w:szCs w:val="40"/>
          <w:lang w:val="en-US"/>
        </w:rPr>
        <w:t>Terms of reference for Expert Group on Alteration of Hydrographical Conditions (2024-2026)</w:t>
      </w:r>
    </w:p>
    <w:p w14:paraId="65D12E8D" w14:textId="425C674C" w:rsidR="0058760F" w:rsidRPr="003F470D" w:rsidRDefault="0058760F" w:rsidP="0058760F">
      <w:pPr>
        <w:pStyle w:val="Heading2"/>
        <w:rPr>
          <w:rFonts w:asciiTheme="minorHAnsi" w:hAnsiTheme="minorHAnsi" w:cstheme="minorHAnsi"/>
          <w:lang w:val="en-US"/>
        </w:rPr>
      </w:pPr>
      <w:r w:rsidRPr="003F470D">
        <w:rPr>
          <w:rFonts w:asciiTheme="minorHAnsi" w:hAnsiTheme="minorHAnsi" w:cstheme="minorHAnsi"/>
          <w:lang w:val="en-US"/>
        </w:rPr>
        <w:t>Background</w:t>
      </w:r>
    </w:p>
    <w:p w14:paraId="24F3C0B9" w14:textId="284D6C7A" w:rsidR="0058760F" w:rsidRPr="003F470D" w:rsidRDefault="0058760F" w:rsidP="0058760F">
      <w:pPr>
        <w:rPr>
          <w:rFonts w:asciiTheme="minorHAnsi" w:hAnsiTheme="minorHAnsi" w:cstheme="minorHAnsi"/>
          <w:lang w:val="en-US"/>
        </w:rPr>
      </w:pPr>
      <w:r w:rsidRPr="003F470D">
        <w:rPr>
          <w:rFonts w:asciiTheme="minorHAnsi" w:hAnsiTheme="minorHAnsi" w:cstheme="minorHAnsi"/>
          <w:lang w:val="en-US"/>
        </w:rPr>
        <w:t>1.</w:t>
      </w:r>
      <w:r w:rsidRPr="003F470D">
        <w:rPr>
          <w:rFonts w:asciiTheme="minorHAnsi" w:hAnsiTheme="minorHAnsi" w:cstheme="minorHAnsi"/>
          <w:lang w:val="en-US"/>
        </w:rPr>
        <w:tab/>
        <w:t xml:space="preserve">The intensification of human activities offshore results in an increasing risk of permanent alteration of hydrographical conditions that adversely affect marine ecosystems. Permanent alteration of hydrographical conditions can result in changes in the thermal or salinity regimes, changes in the tidal regime, sediment, and freshwater transport, current or wave action and changes in turbidity. The degree of change and the period over which such change occurs varies considerably, depending on the type of </w:t>
      </w:r>
      <w:r w:rsidR="003F470D">
        <w:rPr>
          <w:rFonts w:asciiTheme="minorHAnsi" w:hAnsiTheme="minorHAnsi" w:cstheme="minorHAnsi"/>
          <w:lang w:val="en-US"/>
        </w:rPr>
        <w:t>activity</w:t>
      </w:r>
      <w:r w:rsidR="003F470D" w:rsidRPr="003F470D">
        <w:rPr>
          <w:rFonts w:asciiTheme="minorHAnsi" w:hAnsiTheme="minorHAnsi" w:cstheme="minorHAnsi"/>
          <w:lang w:val="en-US"/>
        </w:rPr>
        <w:t xml:space="preserve"> </w:t>
      </w:r>
      <w:r w:rsidRPr="003F470D">
        <w:rPr>
          <w:rFonts w:asciiTheme="minorHAnsi" w:hAnsiTheme="minorHAnsi" w:cstheme="minorHAnsi"/>
          <w:lang w:val="en-US"/>
        </w:rPr>
        <w:t xml:space="preserve">and its location. </w:t>
      </w:r>
      <w:r w:rsidR="003F470D">
        <w:rPr>
          <w:rFonts w:asciiTheme="minorHAnsi" w:hAnsiTheme="minorHAnsi" w:cstheme="minorHAnsi"/>
          <w:lang w:val="en-US"/>
        </w:rPr>
        <w:t xml:space="preserve">Climate change will also have an impact on underlying hydrographical conditions. </w:t>
      </w:r>
      <w:r w:rsidRPr="003F470D">
        <w:rPr>
          <w:rFonts w:asciiTheme="minorHAnsi" w:hAnsiTheme="minorHAnsi" w:cstheme="minorHAnsi"/>
          <w:lang w:val="en-US"/>
        </w:rPr>
        <w:t>Because of (i) future developments of offshore activities, such as renewables, outside of the coastal waters</w:t>
      </w:r>
      <w:r w:rsidR="008D1123" w:rsidRPr="003F470D">
        <w:rPr>
          <w:rFonts w:asciiTheme="minorHAnsi" w:hAnsiTheme="minorHAnsi" w:cstheme="minorHAnsi"/>
          <w:lang w:val="en-US"/>
        </w:rPr>
        <w:t>.</w:t>
      </w:r>
      <w:proofErr w:type="gramStart"/>
      <w:r w:rsidRPr="003F470D">
        <w:rPr>
          <w:rFonts w:asciiTheme="minorHAnsi" w:hAnsiTheme="minorHAnsi" w:cstheme="minorHAnsi"/>
          <w:lang w:val="en-US"/>
        </w:rPr>
        <w:t xml:space="preserve">, </w:t>
      </w:r>
      <w:r w:rsidR="00E04303" w:rsidRPr="003F470D">
        <w:rPr>
          <w:rFonts w:asciiTheme="minorHAnsi" w:hAnsiTheme="minorHAnsi" w:cstheme="minorHAnsi"/>
          <w:lang w:val="en-US"/>
        </w:rPr>
        <w:t>,</w:t>
      </w:r>
      <w:proofErr w:type="gramEnd"/>
      <w:r w:rsidRPr="003F470D">
        <w:rPr>
          <w:rFonts w:asciiTheme="minorHAnsi" w:hAnsiTheme="minorHAnsi" w:cstheme="minorHAnsi"/>
          <w:lang w:val="en-US"/>
        </w:rPr>
        <w:t xml:space="preserve"> </w:t>
      </w:r>
      <w:r w:rsidR="00E04303" w:rsidRPr="003F470D">
        <w:rPr>
          <w:rFonts w:asciiTheme="minorHAnsi" w:hAnsiTheme="minorHAnsi" w:cstheme="minorHAnsi"/>
          <w:lang w:val="en-US"/>
        </w:rPr>
        <w:t xml:space="preserve"> (ii) the decommissioning of old oil and gas infrastructure </w:t>
      </w:r>
      <w:r w:rsidRPr="003F470D">
        <w:rPr>
          <w:rFonts w:asciiTheme="minorHAnsi" w:hAnsiTheme="minorHAnsi" w:cstheme="minorHAnsi"/>
          <w:lang w:val="en-US"/>
        </w:rPr>
        <w:t xml:space="preserve">there is clearly a need for </w:t>
      </w:r>
      <w:r w:rsidR="00E04303" w:rsidRPr="003F470D">
        <w:rPr>
          <w:rFonts w:asciiTheme="minorHAnsi" w:hAnsiTheme="minorHAnsi" w:cstheme="minorHAnsi"/>
          <w:lang w:val="en-US"/>
        </w:rPr>
        <w:t xml:space="preserve">a wide ranging </w:t>
      </w:r>
      <w:r w:rsidRPr="003F470D">
        <w:rPr>
          <w:rFonts w:asciiTheme="minorHAnsi" w:hAnsiTheme="minorHAnsi" w:cstheme="minorHAnsi"/>
          <w:lang w:val="en-US"/>
        </w:rPr>
        <w:t xml:space="preserve">expert network that focusses on offshore. The most recent documents related </w:t>
      </w:r>
      <w:r w:rsidR="00E04303" w:rsidRPr="003F470D">
        <w:rPr>
          <w:rFonts w:asciiTheme="minorHAnsi" w:hAnsiTheme="minorHAnsi" w:cstheme="minorHAnsi"/>
          <w:lang w:val="en-US"/>
        </w:rPr>
        <w:t xml:space="preserve">to </w:t>
      </w:r>
      <w:r w:rsidRPr="003F470D">
        <w:rPr>
          <w:rFonts w:asciiTheme="minorHAnsi" w:hAnsiTheme="minorHAnsi" w:cstheme="minorHAnsi"/>
          <w:lang w:val="en-US"/>
        </w:rPr>
        <w:t xml:space="preserve">hydrographical conditions by OSPAR (2012), Gonzales et al. (2014) and Spiteri (2015) </w:t>
      </w:r>
      <w:r w:rsidR="5B569C55" w:rsidRPr="003F470D">
        <w:rPr>
          <w:rFonts w:asciiTheme="minorHAnsi" w:hAnsiTheme="minorHAnsi" w:cstheme="minorHAnsi"/>
          <w:lang w:val="en-US"/>
        </w:rPr>
        <w:t xml:space="preserve">are out of </w:t>
      </w:r>
      <w:proofErr w:type="gramStart"/>
      <w:r w:rsidR="5B569C55" w:rsidRPr="003F470D">
        <w:rPr>
          <w:rFonts w:asciiTheme="minorHAnsi" w:hAnsiTheme="minorHAnsi" w:cstheme="minorHAnsi"/>
          <w:lang w:val="en-US"/>
        </w:rPr>
        <w:t>date.</w:t>
      </w:r>
      <w:r w:rsidRPr="003F470D">
        <w:rPr>
          <w:rFonts w:asciiTheme="minorHAnsi" w:hAnsiTheme="minorHAnsi" w:cstheme="minorHAnsi"/>
          <w:lang w:val="en-US"/>
        </w:rPr>
        <w:t>.</w:t>
      </w:r>
      <w:proofErr w:type="gramEnd"/>
      <w:r w:rsidRPr="003F470D">
        <w:rPr>
          <w:rFonts w:asciiTheme="minorHAnsi" w:hAnsiTheme="minorHAnsi" w:cstheme="minorHAnsi"/>
          <w:lang w:val="en-US"/>
        </w:rPr>
        <w:t xml:space="preserve"> An update on the assessment of the hydrographical conditions is necessary,  </w:t>
      </w:r>
      <w:sdt>
        <w:sdtPr>
          <w:rPr>
            <w:rFonts w:asciiTheme="minorHAnsi" w:hAnsiTheme="minorHAnsi" w:cstheme="minorHAnsi"/>
            <w:lang w:val="en-US"/>
          </w:rPr>
          <w:id w:val="-591856875"/>
          <w:placeholder>
            <w:docPart w:val="DefaultPlaceholder_1081868574"/>
          </w:placeholder>
          <w:citation/>
        </w:sdtPr>
        <w:sdtEndPr/>
        <w:sdtContent>
          <w:r w:rsidRPr="003F470D">
            <w:rPr>
              <w:rFonts w:asciiTheme="minorHAnsi" w:hAnsiTheme="minorHAnsi" w:cstheme="minorHAnsi"/>
              <w:lang w:val="en-US"/>
            </w:rPr>
            <w:fldChar w:fldCharType="begin"/>
          </w:r>
          <w:r w:rsidRPr="003F470D">
            <w:rPr>
              <w:rFonts w:asciiTheme="minorHAnsi" w:hAnsiTheme="minorHAnsi" w:cstheme="minorHAnsi"/>
              <w:lang w:val="en-US"/>
            </w:rPr>
            <w:instrText xml:space="preserve"> CITATION Fri21 \l 1033 </w:instrText>
          </w:r>
          <w:r w:rsidRPr="003F470D">
            <w:rPr>
              <w:rFonts w:asciiTheme="minorHAnsi" w:hAnsiTheme="minorHAnsi" w:cstheme="minorHAnsi"/>
              <w:lang w:val="en-US"/>
            </w:rPr>
            <w:fldChar w:fldCharType="separate"/>
          </w:r>
          <w:r w:rsidRPr="003F470D">
            <w:rPr>
              <w:rFonts w:asciiTheme="minorHAnsi" w:hAnsiTheme="minorHAnsi" w:cstheme="minorHAnsi"/>
              <w:noProof/>
              <w:lang w:val="en-US"/>
            </w:rPr>
            <w:t>(Friedland, Boschetti, &amp; Stips, 2021)</w:t>
          </w:r>
          <w:r w:rsidRPr="003F470D">
            <w:rPr>
              <w:rFonts w:asciiTheme="minorHAnsi" w:hAnsiTheme="minorHAnsi" w:cstheme="minorHAnsi"/>
              <w:lang w:val="en-US"/>
            </w:rPr>
            <w:fldChar w:fldCharType="end"/>
          </w:r>
        </w:sdtContent>
      </w:sdt>
      <w:r w:rsidRPr="003F470D">
        <w:rPr>
          <w:rFonts w:asciiTheme="minorHAnsi" w:hAnsiTheme="minorHAnsi" w:cstheme="minorHAnsi"/>
          <w:lang w:val="en-US"/>
        </w:rPr>
        <w:t xml:space="preserve"> </w:t>
      </w:r>
      <w:r w:rsidR="1DD29F2C" w:rsidRPr="003F470D">
        <w:rPr>
          <w:rFonts w:asciiTheme="minorHAnsi" w:hAnsiTheme="minorHAnsi" w:cstheme="minorHAnsi"/>
          <w:lang w:val="en-US"/>
        </w:rPr>
        <w:t>because there is</w:t>
      </w:r>
      <w:r w:rsidRPr="003F470D">
        <w:rPr>
          <w:rFonts w:asciiTheme="minorHAnsi" w:hAnsiTheme="minorHAnsi" w:cstheme="minorHAnsi"/>
          <w:lang w:val="en-US"/>
        </w:rPr>
        <w:t xml:space="preserve"> a lack of homogeneous </w:t>
      </w:r>
      <w:proofErr w:type="gramStart"/>
      <w:r w:rsidRPr="003F470D">
        <w:rPr>
          <w:rFonts w:asciiTheme="minorHAnsi" w:hAnsiTheme="minorHAnsi" w:cstheme="minorHAnsi"/>
          <w:lang w:val="en-US"/>
        </w:rPr>
        <w:t>methodology .</w:t>
      </w:r>
      <w:proofErr w:type="gramEnd"/>
      <w:r w:rsidRPr="003F470D">
        <w:rPr>
          <w:rFonts w:asciiTheme="minorHAnsi" w:hAnsiTheme="minorHAnsi" w:cstheme="minorHAnsi"/>
          <w:lang w:val="en-US"/>
        </w:rPr>
        <w:t xml:space="preserve"> It is expected that EU member states find a consistent methodology (method, spatial </w:t>
      </w:r>
      <w:proofErr w:type="gramStart"/>
      <w:r w:rsidRPr="003F470D">
        <w:rPr>
          <w:rFonts w:asciiTheme="minorHAnsi" w:hAnsiTheme="minorHAnsi" w:cstheme="minorHAnsi"/>
          <w:lang w:val="en-US"/>
        </w:rPr>
        <w:t>coverage</w:t>
      </w:r>
      <w:proofErr w:type="gramEnd"/>
      <w:r w:rsidRPr="003F470D">
        <w:rPr>
          <w:rFonts w:asciiTheme="minorHAnsi" w:hAnsiTheme="minorHAnsi" w:cstheme="minorHAnsi"/>
          <w:lang w:val="en-US"/>
        </w:rPr>
        <w:t xml:space="preserve"> and assessment period), a common terminology, a harmonized way to include WFD assessment for coastal waters and a reflection on climate change for the alteration of hydrographical conditions.</w:t>
      </w:r>
    </w:p>
    <w:p w14:paraId="36354975" w14:textId="77777777" w:rsidR="0058760F" w:rsidRPr="003F470D" w:rsidRDefault="0058760F" w:rsidP="0058760F">
      <w:pPr>
        <w:pStyle w:val="Heading3"/>
        <w:rPr>
          <w:rFonts w:asciiTheme="minorHAnsi" w:hAnsiTheme="minorHAnsi" w:cstheme="minorHAnsi"/>
          <w:i w:val="0"/>
          <w:u w:val="single"/>
          <w:lang w:val="en-US"/>
        </w:rPr>
      </w:pPr>
      <w:r w:rsidRPr="003F470D">
        <w:rPr>
          <w:rFonts w:asciiTheme="minorHAnsi" w:hAnsiTheme="minorHAnsi" w:cstheme="minorHAnsi"/>
          <w:i w:val="0"/>
          <w:u w:val="single"/>
          <w:lang w:val="en-US"/>
        </w:rPr>
        <w:t>Future developments</w:t>
      </w:r>
    </w:p>
    <w:p w14:paraId="354FD596" w14:textId="5CC2F135" w:rsidR="0058760F" w:rsidRPr="003F470D" w:rsidRDefault="0058760F" w:rsidP="0058760F">
      <w:pPr>
        <w:rPr>
          <w:rFonts w:asciiTheme="minorHAnsi" w:hAnsiTheme="minorHAnsi" w:cstheme="minorHAnsi"/>
          <w:lang w:val="en-US"/>
        </w:rPr>
      </w:pPr>
      <w:r w:rsidRPr="003F470D">
        <w:rPr>
          <w:rFonts w:asciiTheme="minorHAnsi" w:hAnsiTheme="minorHAnsi" w:cstheme="minorHAnsi"/>
          <w:lang w:val="en-US"/>
        </w:rPr>
        <w:t>2.</w:t>
      </w:r>
      <w:r w:rsidRPr="003F470D">
        <w:rPr>
          <w:rFonts w:asciiTheme="minorHAnsi" w:hAnsiTheme="minorHAnsi" w:cstheme="minorHAnsi"/>
          <w:lang w:val="en-US"/>
        </w:rPr>
        <w:tab/>
        <w:t>The need to have clear guidance and regional coordination on hydrographical conditions is exacerbated by the increasing number of offshore activities. Several maritime activities such as, fishing and aquaculture, shipping, coastal tourism developments, renewable energy (e.g., wind and solar), undersea cabling, seabed extractive industries and deep-sea mining, and associated infrastructure can result in alteration of hydrographical conditions. These alterations can be transient or can result in longer term changes to current patterns and hence sediment transport, as well as other impacts such as changes in water column mixing (stratification) that can impact primary production. Increased intensity and scope of certain activities such as Offshore Renewable Energy (ORE), means that alteration of hydrographical conditions may become more widespread across the OSPAR region. For Offshore Wind Farms (OWF), which started at the end of the 20</w:t>
      </w:r>
      <w:r w:rsidRPr="003F470D">
        <w:rPr>
          <w:rFonts w:asciiTheme="minorHAnsi" w:hAnsiTheme="minorHAnsi" w:cstheme="minorHAnsi"/>
          <w:vertAlign w:val="superscript"/>
          <w:lang w:val="en-US"/>
        </w:rPr>
        <w:t>th</w:t>
      </w:r>
      <w:r w:rsidRPr="003F470D">
        <w:rPr>
          <w:rFonts w:asciiTheme="minorHAnsi" w:hAnsiTheme="minorHAnsi" w:cstheme="minorHAnsi"/>
          <w:lang w:val="en-US"/>
        </w:rPr>
        <w:t xml:space="preserve"> century, the target capacity will increase from 22 GW (2021) to 300 GW (by 2050) as outlined in the EU strategy on offshore renewable energy (</w:t>
      </w:r>
      <w:proofErr w:type="gramStart"/>
      <w:r w:rsidRPr="003F470D">
        <w:rPr>
          <w:rFonts w:asciiTheme="minorHAnsi" w:hAnsiTheme="minorHAnsi" w:cstheme="minorHAnsi"/>
        </w:rPr>
        <w:t>COM(</w:t>
      </w:r>
      <w:proofErr w:type="gramEnd"/>
      <w:r w:rsidRPr="003F470D">
        <w:rPr>
          <w:rFonts w:asciiTheme="minorHAnsi" w:hAnsiTheme="minorHAnsi" w:cstheme="minorHAnsi"/>
          <w:lang w:val="en-US"/>
        </w:rPr>
        <w:t xml:space="preserve">2020)741). Almost half of this (120 GW in 2030) will be within the North Sea, stated in the Ostend Declaration. </w:t>
      </w:r>
      <w:r w:rsidR="00C50B13" w:rsidRPr="003F470D">
        <w:rPr>
          <w:rFonts w:asciiTheme="minorHAnsi" w:hAnsiTheme="minorHAnsi" w:cstheme="minorHAnsi"/>
          <w:lang w:val="en-US"/>
        </w:rPr>
        <w:t xml:space="preserve"> In addition, the UK has ambitions to deploy up to 50GW of offshore wind capacity by 2030</w:t>
      </w:r>
      <w:r w:rsidR="00C50B13" w:rsidRPr="003F470D">
        <w:rPr>
          <w:rFonts w:asciiTheme="minorHAnsi" w:hAnsiTheme="minorHAnsi" w:cstheme="minorHAnsi"/>
        </w:rPr>
        <w:t>.</w:t>
      </w:r>
    </w:p>
    <w:p w14:paraId="52C1AB4A" w14:textId="77777777" w:rsidR="0058760F" w:rsidRPr="003F470D" w:rsidRDefault="0058760F" w:rsidP="0058760F">
      <w:pPr>
        <w:pStyle w:val="Heading3"/>
        <w:rPr>
          <w:rFonts w:asciiTheme="minorHAnsi" w:hAnsiTheme="minorHAnsi" w:cstheme="minorHAnsi"/>
          <w:i w:val="0"/>
          <w:u w:val="single"/>
          <w:lang w:val="en-US"/>
        </w:rPr>
      </w:pPr>
      <w:r w:rsidRPr="003F470D">
        <w:rPr>
          <w:rFonts w:asciiTheme="minorHAnsi" w:hAnsiTheme="minorHAnsi" w:cstheme="minorHAnsi"/>
          <w:i w:val="0"/>
          <w:u w:val="single"/>
          <w:lang w:val="en-US"/>
        </w:rPr>
        <w:t>Ecological impacts</w:t>
      </w:r>
    </w:p>
    <w:p w14:paraId="6AD520E1" w14:textId="77777777" w:rsidR="0058760F" w:rsidRPr="003F470D" w:rsidRDefault="0058760F" w:rsidP="0058760F">
      <w:pPr>
        <w:rPr>
          <w:rFonts w:asciiTheme="minorHAnsi" w:hAnsiTheme="minorHAnsi" w:cstheme="minorHAnsi"/>
          <w:lang w:val="en-US"/>
        </w:rPr>
      </w:pPr>
      <w:r w:rsidRPr="003F470D">
        <w:rPr>
          <w:rFonts w:asciiTheme="minorHAnsi" w:hAnsiTheme="minorHAnsi" w:cstheme="minorHAnsi"/>
          <w:lang w:val="en-US"/>
        </w:rPr>
        <w:t>3.</w:t>
      </w:r>
      <w:r w:rsidRPr="003F470D">
        <w:rPr>
          <w:rFonts w:asciiTheme="minorHAnsi" w:hAnsiTheme="minorHAnsi" w:cstheme="minorHAnsi"/>
          <w:lang w:val="en-US"/>
        </w:rPr>
        <w:tab/>
        <w:t xml:space="preserve">The extent of the </w:t>
      </w:r>
      <w:proofErr w:type="gramStart"/>
      <w:r w:rsidRPr="003F470D">
        <w:rPr>
          <w:rFonts w:asciiTheme="minorHAnsi" w:hAnsiTheme="minorHAnsi" w:cstheme="minorHAnsi"/>
          <w:lang w:val="en-US"/>
        </w:rPr>
        <w:t>impacts</w:t>
      </w:r>
      <w:proofErr w:type="gramEnd"/>
      <w:r w:rsidRPr="003F470D">
        <w:rPr>
          <w:rFonts w:asciiTheme="minorHAnsi" w:hAnsiTheme="minorHAnsi" w:cstheme="minorHAnsi"/>
          <w:lang w:val="en-US"/>
        </w:rPr>
        <w:t xml:space="preserve"> of these activities on permanent alteration of hydrographical conditions remains largely unknown. Some activities will result in the permanent but mainly local alteration of the seabed (such as concrete structures associated with turbine foundations or port extensions), while others </w:t>
      </w:r>
      <w:r w:rsidRPr="003F470D">
        <w:rPr>
          <w:rFonts w:asciiTheme="minorHAnsi" w:hAnsiTheme="minorHAnsi" w:cstheme="minorHAnsi"/>
          <w:lang w:val="en-US"/>
        </w:rPr>
        <w:lastRenderedPageBreak/>
        <w:t>will result in altered hydrographical conditions which may result in the system finding a new equilibrium. However, recent observations</w:t>
      </w:r>
      <w:sdt>
        <w:sdtPr>
          <w:rPr>
            <w:rFonts w:asciiTheme="minorHAnsi" w:hAnsiTheme="minorHAnsi" w:cstheme="minorHAnsi"/>
            <w:lang w:val="en-US"/>
          </w:rPr>
          <w:id w:val="-1096401218"/>
          <w:citation/>
        </w:sdtPr>
        <w:sdtEndPr/>
        <w:sdtContent>
          <w:r w:rsidRPr="003F470D">
            <w:rPr>
              <w:rFonts w:asciiTheme="minorHAnsi" w:hAnsiTheme="minorHAnsi" w:cstheme="minorHAnsi"/>
              <w:lang w:val="en-US"/>
            </w:rPr>
            <w:fldChar w:fldCharType="begin"/>
          </w:r>
          <w:r w:rsidRPr="003F470D">
            <w:rPr>
              <w:rFonts w:asciiTheme="minorHAnsi" w:hAnsiTheme="minorHAnsi" w:cstheme="minorHAnsi"/>
              <w:lang w:val="en-US"/>
            </w:rPr>
            <w:instrText xml:space="preserve"> CITATION Bae15 \l 1033 </w:instrText>
          </w:r>
          <w:r w:rsidRPr="003F470D">
            <w:rPr>
              <w:rFonts w:asciiTheme="minorHAnsi" w:hAnsiTheme="minorHAnsi" w:cstheme="minorHAnsi"/>
              <w:lang w:val="en-US"/>
            </w:rPr>
            <w:fldChar w:fldCharType="separate"/>
          </w:r>
          <w:r w:rsidRPr="003F470D">
            <w:rPr>
              <w:rFonts w:asciiTheme="minorHAnsi" w:hAnsiTheme="minorHAnsi" w:cstheme="minorHAnsi"/>
              <w:noProof/>
              <w:lang w:val="en-US"/>
            </w:rPr>
            <w:t xml:space="preserve"> (Baeye &amp; Fettweis, 2015)</w:t>
          </w:r>
          <w:r w:rsidRPr="003F470D">
            <w:rPr>
              <w:rFonts w:asciiTheme="minorHAnsi" w:hAnsiTheme="minorHAnsi" w:cstheme="minorHAnsi"/>
              <w:lang w:val="en-US"/>
            </w:rPr>
            <w:fldChar w:fldCharType="end"/>
          </w:r>
        </w:sdtContent>
      </w:sdt>
      <w:r w:rsidRPr="003F470D">
        <w:rPr>
          <w:rFonts w:asciiTheme="minorHAnsi" w:hAnsiTheme="minorHAnsi" w:cstheme="minorHAnsi"/>
          <w:lang w:val="en-US"/>
        </w:rPr>
        <w:t xml:space="preserve"> suggest that turbulence and current wakes developing behind each offshore wind turbine pile alter hydrodynamics over an area that will be wider than a single wind farm. These changes can impact the conditions for stratification and sediment transport </w:t>
      </w:r>
      <w:sdt>
        <w:sdtPr>
          <w:rPr>
            <w:rFonts w:asciiTheme="minorHAnsi" w:hAnsiTheme="minorHAnsi" w:cstheme="minorHAnsi"/>
            <w:lang w:val="en-US"/>
          </w:rPr>
          <w:id w:val="1198743422"/>
          <w:citation/>
        </w:sdtPr>
        <w:sdtEndPr/>
        <w:sdtContent>
          <w:r w:rsidRPr="003F470D">
            <w:rPr>
              <w:rFonts w:asciiTheme="minorHAnsi" w:hAnsiTheme="minorHAnsi" w:cstheme="minorHAnsi"/>
              <w:lang w:val="en-US"/>
            </w:rPr>
            <w:fldChar w:fldCharType="begin"/>
          </w:r>
          <w:r w:rsidRPr="003F470D">
            <w:rPr>
              <w:rFonts w:asciiTheme="minorHAnsi" w:hAnsiTheme="minorHAnsi" w:cstheme="minorHAnsi"/>
              <w:lang w:val="en-US"/>
            </w:rPr>
            <w:instrText xml:space="preserve"> CITATION Van21 \l 1033 </w:instrText>
          </w:r>
          <w:r w:rsidRPr="003F470D">
            <w:rPr>
              <w:rFonts w:asciiTheme="minorHAnsi" w:hAnsiTheme="minorHAnsi" w:cstheme="minorHAnsi"/>
              <w:lang w:val="en-US"/>
            </w:rPr>
            <w:fldChar w:fldCharType="separate"/>
          </w:r>
          <w:r w:rsidRPr="003F470D">
            <w:rPr>
              <w:rFonts w:asciiTheme="minorHAnsi" w:hAnsiTheme="minorHAnsi" w:cstheme="minorHAnsi"/>
              <w:noProof/>
              <w:lang w:val="en-US"/>
            </w:rPr>
            <w:t>(Van Duren, et al., 2021)</w:t>
          </w:r>
          <w:r w:rsidRPr="003F470D">
            <w:rPr>
              <w:rFonts w:asciiTheme="minorHAnsi" w:hAnsiTheme="minorHAnsi" w:cstheme="minorHAnsi"/>
              <w:lang w:val="en-US"/>
            </w:rPr>
            <w:fldChar w:fldCharType="end"/>
          </w:r>
        </w:sdtContent>
      </w:sdt>
      <w:r w:rsidRPr="003F470D">
        <w:rPr>
          <w:rFonts w:asciiTheme="minorHAnsi" w:hAnsiTheme="minorHAnsi" w:cstheme="minorHAnsi"/>
          <w:lang w:val="en-US"/>
        </w:rPr>
        <w:t>. Similarly, the latest model study from the North Sea</w:t>
      </w:r>
      <w:sdt>
        <w:sdtPr>
          <w:rPr>
            <w:rFonts w:asciiTheme="minorHAnsi" w:hAnsiTheme="minorHAnsi" w:cstheme="minorHAnsi"/>
            <w:lang w:val="en-US"/>
          </w:rPr>
          <w:id w:val="-876537328"/>
          <w:citation/>
        </w:sdtPr>
        <w:sdtEndPr/>
        <w:sdtContent>
          <w:r w:rsidRPr="003F470D">
            <w:rPr>
              <w:rFonts w:asciiTheme="minorHAnsi" w:hAnsiTheme="minorHAnsi" w:cstheme="minorHAnsi"/>
              <w:lang w:val="en-US"/>
            </w:rPr>
            <w:fldChar w:fldCharType="begin"/>
          </w:r>
          <w:r w:rsidRPr="003F470D">
            <w:rPr>
              <w:rFonts w:asciiTheme="minorHAnsi" w:hAnsiTheme="minorHAnsi" w:cstheme="minorHAnsi"/>
              <w:lang w:val="en-US"/>
            </w:rPr>
            <w:instrText xml:space="preserve"> CITATION Dae22 \l 1033 </w:instrText>
          </w:r>
          <w:r w:rsidRPr="003F470D">
            <w:rPr>
              <w:rFonts w:asciiTheme="minorHAnsi" w:hAnsiTheme="minorHAnsi" w:cstheme="minorHAnsi"/>
              <w:lang w:val="en-US"/>
            </w:rPr>
            <w:fldChar w:fldCharType="separate"/>
          </w:r>
          <w:r w:rsidRPr="003F470D">
            <w:rPr>
              <w:rFonts w:asciiTheme="minorHAnsi" w:hAnsiTheme="minorHAnsi" w:cstheme="minorHAnsi"/>
              <w:noProof/>
              <w:lang w:val="en-US"/>
            </w:rPr>
            <w:t xml:space="preserve"> (Daewel, Akhtar, Christiansen, &amp; Schrum, 2022)</w:t>
          </w:r>
          <w:r w:rsidRPr="003F470D">
            <w:rPr>
              <w:rFonts w:asciiTheme="minorHAnsi" w:hAnsiTheme="minorHAnsi" w:cstheme="minorHAnsi"/>
              <w:lang w:val="en-US"/>
            </w:rPr>
            <w:fldChar w:fldCharType="end"/>
          </w:r>
        </w:sdtContent>
      </w:sdt>
      <w:r w:rsidRPr="003F470D">
        <w:rPr>
          <w:rFonts w:asciiTheme="minorHAnsi" w:hAnsiTheme="minorHAnsi" w:cstheme="minorHAnsi"/>
          <w:lang w:val="en-US"/>
        </w:rPr>
        <w:t xml:space="preserve"> suggests changes that lead to a potential decrease in primary production. Due to these increased human activities offshore, it is necessary to increase our knowledge of where the activities take place and what resulting alterations of the hydrographical conditions occur, including their resulting cumulative impacts. Another aspect would be the ecological impacts of climate change on </w:t>
      </w:r>
      <w:proofErr w:type="gramStart"/>
      <w:r w:rsidRPr="003F470D">
        <w:rPr>
          <w:rFonts w:asciiTheme="minorHAnsi" w:hAnsiTheme="minorHAnsi" w:cstheme="minorHAnsi"/>
          <w:lang w:val="en-US"/>
        </w:rPr>
        <w:t>hydrographical</w:t>
      </w:r>
      <w:proofErr w:type="gramEnd"/>
      <w:r w:rsidRPr="003F470D">
        <w:rPr>
          <w:rFonts w:asciiTheme="minorHAnsi" w:hAnsiTheme="minorHAnsi" w:cstheme="minorHAnsi"/>
          <w:lang w:val="en-US"/>
        </w:rPr>
        <w:t xml:space="preserve"> conditions and their effects on impacts related to anthropogenic activities.</w:t>
      </w:r>
    </w:p>
    <w:p w14:paraId="0D5B4044" w14:textId="2C622A69" w:rsidR="0058760F" w:rsidRPr="003F470D" w:rsidRDefault="0058760F" w:rsidP="0058760F">
      <w:pPr>
        <w:pStyle w:val="Heading2"/>
        <w:rPr>
          <w:rFonts w:asciiTheme="minorHAnsi" w:hAnsiTheme="minorHAnsi" w:cstheme="minorHAnsi"/>
          <w:lang w:val="en-US"/>
        </w:rPr>
      </w:pPr>
      <w:r w:rsidRPr="003F470D">
        <w:rPr>
          <w:rFonts w:asciiTheme="minorHAnsi" w:hAnsiTheme="minorHAnsi" w:cstheme="minorHAnsi"/>
          <w:lang w:val="en-US"/>
        </w:rPr>
        <w:t>Objective of the expert group</w:t>
      </w:r>
    </w:p>
    <w:p w14:paraId="00BD332B" w14:textId="77777777" w:rsidR="0058760F" w:rsidRPr="003F470D" w:rsidRDefault="0058760F" w:rsidP="0058760F">
      <w:pPr>
        <w:rPr>
          <w:rFonts w:asciiTheme="minorHAnsi" w:hAnsiTheme="minorHAnsi" w:cstheme="minorHAnsi"/>
          <w:lang w:val="en-US"/>
        </w:rPr>
      </w:pPr>
      <w:r w:rsidRPr="003F470D">
        <w:rPr>
          <w:rFonts w:asciiTheme="minorHAnsi" w:hAnsiTheme="minorHAnsi" w:cstheme="minorHAnsi"/>
          <w:lang w:val="en-US"/>
        </w:rPr>
        <w:t xml:space="preserve">4. </w:t>
      </w:r>
      <w:r w:rsidRPr="003F470D">
        <w:rPr>
          <w:rFonts w:asciiTheme="minorHAnsi" w:hAnsiTheme="minorHAnsi" w:cstheme="minorHAnsi"/>
          <w:lang w:val="en-US"/>
        </w:rPr>
        <w:tab/>
        <w:t>The expert group will have two objectives:</w:t>
      </w:r>
    </w:p>
    <w:p w14:paraId="7560B084" w14:textId="55B74A8B" w:rsidR="0058760F" w:rsidRPr="003F470D" w:rsidRDefault="0058760F" w:rsidP="0058760F">
      <w:pPr>
        <w:pStyle w:val="ListParagraph"/>
        <w:numPr>
          <w:ilvl w:val="0"/>
          <w:numId w:val="46"/>
        </w:numPr>
        <w:tabs>
          <w:tab w:val="left" w:pos="567"/>
        </w:tabs>
        <w:spacing w:before="120" w:after="120" w:line="276" w:lineRule="auto"/>
        <w:jc w:val="both"/>
        <w:rPr>
          <w:rFonts w:asciiTheme="minorHAnsi" w:hAnsiTheme="minorHAnsi" w:cstheme="minorHAnsi"/>
          <w:lang w:val="en-US"/>
        </w:rPr>
      </w:pPr>
      <w:r w:rsidRPr="003F470D">
        <w:rPr>
          <w:rFonts w:asciiTheme="minorHAnsi" w:hAnsiTheme="minorHAnsi" w:cstheme="minorHAnsi"/>
          <w:lang w:val="en-US"/>
        </w:rPr>
        <w:t xml:space="preserve">To produce a guidance document for the development of a regional assessment on hydrographical conditions with a focus on offshore wind </w:t>
      </w:r>
      <w:proofErr w:type="gramStart"/>
      <w:r w:rsidRPr="003F470D">
        <w:rPr>
          <w:rFonts w:asciiTheme="minorHAnsi" w:hAnsiTheme="minorHAnsi" w:cstheme="minorHAnsi"/>
          <w:lang w:val="en-US"/>
        </w:rPr>
        <w:t>farms;</w:t>
      </w:r>
      <w:proofErr w:type="gramEnd"/>
    </w:p>
    <w:p w14:paraId="1960A521" w14:textId="77777777" w:rsidR="0058760F" w:rsidRPr="003F470D" w:rsidRDefault="0058760F" w:rsidP="0058760F">
      <w:pPr>
        <w:pStyle w:val="ListParagraph"/>
        <w:numPr>
          <w:ilvl w:val="0"/>
          <w:numId w:val="46"/>
        </w:numPr>
        <w:tabs>
          <w:tab w:val="left" w:pos="567"/>
        </w:tabs>
        <w:spacing w:before="120" w:after="120" w:line="276" w:lineRule="auto"/>
        <w:jc w:val="both"/>
        <w:rPr>
          <w:rFonts w:asciiTheme="minorHAnsi" w:hAnsiTheme="minorHAnsi" w:cstheme="minorHAnsi"/>
          <w:lang w:val="en-US"/>
        </w:rPr>
      </w:pPr>
      <w:r w:rsidRPr="003F470D">
        <w:rPr>
          <w:rFonts w:asciiTheme="minorHAnsi" w:hAnsiTheme="minorHAnsi" w:cstheme="minorHAnsi"/>
          <w:lang w:val="en-US"/>
        </w:rPr>
        <w:t>To deliver a regional assessment</w:t>
      </w:r>
      <w:r w:rsidRPr="003F470D">
        <w:rPr>
          <w:rFonts w:asciiTheme="minorHAnsi" w:hAnsiTheme="minorHAnsi" w:cstheme="minorHAnsi"/>
          <w:lang w:eastAsia="fr-FR"/>
        </w:rPr>
        <w:t xml:space="preserve"> to support the implementation of the North-East Atlantic Environment Strategy 2030 and the EU Marine Strategy Framework Directive, in close cooperation with ICG-ORED.</w:t>
      </w:r>
    </w:p>
    <w:p w14:paraId="2BAB94AB" w14:textId="73B3A10B" w:rsidR="0058760F" w:rsidRPr="003F470D" w:rsidRDefault="0058760F" w:rsidP="0058760F">
      <w:pPr>
        <w:pStyle w:val="Heading2"/>
        <w:rPr>
          <w:rFonts w:asciiTheme="minorHAnsi" w:hAnsiTheme="minorHAnsi" w:cstheme="minorHAnsi"/>
          <w:lang w:val="en-US"/>
        </w:rPr>
      </w:pPr>
      <w:r w:rsidRPr="003F470D">
        <w:rPr>
          <w:rFonts w:asciiTheme="minorHAnsi" w:hAnsiTheme="minorHAnsi" w:cstheme="minorHAnsi"/>
          <w:lang w:val="en-US"/>
        </w:rPr>
        <w:t>Scope of work</w:t>
      </w:r>
    </w:p>
    <w:p w14:paraId="70732801" w14:textId="77777777" w:rsidR="0058760F" w:rsidRPr="003F470D" w:rsidRDefault="0058760F" w:rsidP="0058760F">
      <w:pPr>
        <w:rPr>
          <w:rFonts w:asciiTheme="minorHAnsi" w:hAnsiTheme="minorHAnsi" w:cstheme="minorHAnsi"/>
          <w:lang w:val="en-US"/>
        </w:rPr>
      </w:pPr>
      <w:r w:rsidRPr="003F470D">
        <w:rPr>
          <w:rFonts w:asciiTheme="minorHAnsi" w:hAnsiTheme="minorHAnsi" w:cstheme="minorHAnsi"/>
          <w:lang w:val="en-US"/>
        </w:rPr>
        <w:t>5.</w:t>
      </w:r>
      <w:r w:rsidRPr="003F470D">
        <w:rPr>
          <w:rFonts w:asciiTheme="minorHAnsi" w:hAnsiTheme="minorHAnsi" w:cstheme="minorHAnsi"/>
          <w:lang w:val="en-US"/>
        </w:rPr>
        <w:tab/>
        <w:t xml:space="preserve">The Expert Group Alteration of Hydrographical Conditions will frame its work in the context of the EU MSFD and the OSPAR QSR. The focus is to </w:t>
      </w:r>
      <w:r w:rsidRPr="003F470D">
        <w:rPr>
          <w:rFonts w:asciiTheme="minorHAnsi" w:hAnsiTheme="minorHAnsi" w:cstheme="minorHAnsi"/>
          <w:i/>
          <w:lang w:val="en-US"/>
        </w:rPr>
        <w:t>develop a common understanding of  the use of the adverse effects of alteration in hydrographical conditions</w:t>
      </w:r>
      <w:r w:rsidRPr="003F470D">
        <w:rPr>
          <w:rFonts w:asciiTheme="minorHAnsi" w:hAnsiTheme="minorHAnsi" w:cstheme="minorHAnsi"/>
        </w:rPr>
        <w:t xml:space="preserve"> </w:t>
      </w:r>
      <w:r w:rsidRPr="003F470D">
        <w:rPr>
          <w:rFonts w:asciiTheme="minorHAnsi" w:hAnsiTheme="minorHAnsi" w:cstheme="minorHAnsi"/>
          <w:i/>
          <w:lang w:val="en-US"/>
        </w:rPr>
        <w:t xml:space="preserve">criteria in status assessment and associated guidance for an assessment framework and close identified guidance gaps: A coherent to the OSPAR QSR and the MSFD assessment requires more specific guidance on all aspects set out in MSFD assessment to develop a common understanding and use of these criteria in status assessments </w:t>
      </w:r>
      <w:sdt>
        <w:sdtPr>
          <w:rPr>
            <w:rFonts w:asciiTheme="minorHAnsi" w:hAnsiTheme="minorHAnsi" w:cstheme="minorHAnsi"/>
            <w:lang w:val="en-US"/>
          </w:rPr>
          <w:id w:val="901876344"/>
          <w:citation/>
        </w:sdtPr>
        <w:sdtEndPr/>
        <w:sdtContent>
          <w:r w:rsidRPr="003F470D">
            <w:rPr>
              <w:rFonts w:asciiTheme="minorHAnsi" w:hAnsiTheme="minorHAnsi" w:cstheme="minorHAnsi"/>
              <w:lang w:val="en-US"/>
            </w:rPr>
            <w:fldChar w:fldCharType="begin"/>
          </w:r>
          <w:r w:rsidRPr="003F470D">
            <w:rPr>
              <w:rFonts w:asciiTheme="minorHAnsi" w:hAnsiTheme="minorHAnsi" w:cstheme="minorHAnsi"/>
              <w:lang w:val="en-US"/>
            </w:rPr>
            <w:instrText xml:space="preserve">CITATION Aca22 \l 1033 </w:instrText>
          </w:r>
          <w:r w:rsidRPr="003F470D">
            <w:rPr>
              <w:rFonts w:asciiTheme="minorHAnsi" w:hAnsiTheme="minorHAnsi" w:cstheme="minorHAnsi"/>
              <w:lang w:val="en-US"/>
            </w:rPr>
            <w:fldChar w:fldCharType="separate"/>
          </w:r>
          <w:r w:rsidRPr="003F470D">
            <w:rPr>
              <w:rFonts w:asciiTheme="minorHAnsi" w:hAnsiTheme="minorHAnsi" w:cstheme="minorHAnsi"/>
              <w:noProof/>
              <w:lang w:val="en-US"/>
            </w:rPr>
            <w:t>(Acangeli, et al., 2022)</w:t>
          </w:r>
          <w:r w:rsidRPr="003F470D">
            <w:rPr>
              <w:rFonts w:asciiTheme="minorHAnsi" w:hAnsiTheme="minorHAnsi" w:cstheme="minorHAnsi"/>
              <w:lang w:val="en-US"/>
            </w:rPr>
            <w:fldChar w:fldCharType="end"/>
          </w:r>
        </w:sdtContent>
      </w:sdt>
      <w:r w:rsidRPr="003F470D">
        <w:rPr>
          <w:rFonts w:asciiTheme="minorHAnsi" w:hAnsiTheme="minorHAnsi" w:cstheme="minorHAnsi"/>
          <w:lang w:val="en-US"/>
        </w:rPr>
        <w:t>, as well as their relationships with others European Directives. Clarification on the role of the criteria is needed to follow up on potentially increasing offshore pressures e.g., from other EU and national policies including alternative energy generation (expansion of offshore wind farms) and blue economy objectives. It is timely to start working on an assessment framework to accompany major infrastructure developments and mitigate their cumulative impacts on hydrographical conditions in the period up to 2030. The work will also anticipate the issue of climate change’s potential impacts on hydrographic conditions.</w:t>
      </w:r>
    </w:p>
    <w:p w14:paraId="0CD29DEF" w14:textId="77777777" w:rsidR="0058760F" w:rsidRPr="003F470D" w:rsidRDefault="0058760F" w:rsidP="0058760F">
      <w:pPr>
        <w:rPr>
          <w:rFonts w:asciiTheme="minorHAnsi" w:hAnsiTheme="minorHAnsi" w:cstheme="minorHAnsi"/>
          <w:lang w:val="en-US"/>
        </w:rPr>
      </w:pPr>
      <w:r w:rsidRPr="003F470D">
        <w:rPr>
          <w:rFonts w:asciiTheme="minorHAnsi" w:hAnsiTheme="minorHAnsi" w:cstheme="minorHAnsi"/>
          <w:lang w:val="en-US"/>
        </w:rPr>
        <w:t>6.</w:t>
      </w:r>
      <w:r w:rsidRPr="003F470D">
        <w:rPr>
          <w:rFonts w:asciiTheme="minorHAnsi" w:hAnsiTheme="minorHAnsi" w:cstheme="minorHAnsi"/>
          <w:lang w:val="en-US"/>
        </w:rPr>
        <w:tab/>
        <w:t>Cumulative impacts of development on a regional seas scale will be an important focus point (related to all mentioned scoped activities). Therefore, Expert Group Alteration of Hydrographical Conditions will collaborate with ICG-Eco-C which carries out broad cumulative impacts work.</w:t>
      </w:r>
    </w:p>
    <w:p w14:paraId="07019F23" w14:textId="77777777" w:rsidR="0058760F" w:rsidRPr="003F470D" w:rsidRDefault="0058760F" w:rsidP="0058760F">
      <w:pPr>
        <w:rPr>
          <w:rFonts w:asciiTheme="minorHAnsi" w:hAnsiTheme="minorHAnsi" w:cstheme="minorHAnsi"/>
          <w:u w:val="single"/>
          <w:lang w:val="en-US"/>
        </w:rPr>
      </w:pPr>
      <w:r w:rsidRPr="003F470D">
        <w:rPr>
          <w:rFonts w:asciiTheme="minorHAnsi" w:hAnsiTheme="minorHAnsi" w:cstheme="minorHAnsi"/>
          <w:u w:val="single"/>
          <w:lang w:val="en-US"/>
        </w:rPr>
        <w:t>Priorities</w:t>
      </w:r>
    </w:p>
    <w:p w14:paraId="6442B5DD" w14:textId="77777777" w:rsidR="0058760F" w:rsidRPr="003F470D" w:rsidRDefault="0058760F" w:rsidP="0058760F">
      <w:pPr>
        <w:rPr>
          <w:rFonts w:asciiTheme="minorHAnsi" w:hAnsiTheme="minorHAnsi" w:cstheme="minorHAnsi"/>
          <w:lang w:val="en-US"/>
        </w:rPr>
      </w:pPr>
      <w:r w:rsidRPr="003F470D">
        <w:rPr>
          <w:rFonts w:asciiTheme="minorHAnsi" w:hAnsiTheme="minorHAnsi" w:cstheme="minorHAnsi"/>
          <w:lang w:val="en-US"/>
        </w:rPr>
        <w:t xml:space="preserve">7. </w:t>
      </w:r>
      <w:r w:rsidRPr="003F470D">
        <w:rPr>
          <w:rFonts w:asciiTheme="minorHAnsi" w:hAnsiTheme="minorHAnsi" w:cstheme="minorHAnsi"/>
          <w:lang w:val="en-US"/>
        </w:rPr>
        <w:tab/>
        <w:t xml:space="preserve">While the scope of Expert Group Alteration of Hydrographical Conditions is broad, it is necessary to concentrate efforts related to the expansion of offshore renewables and the cumulative impacts and its extension at regional seas scales. </w:t>
      </w:r>
    </w:p>
    <w:p w14:paraId="6E47C94E" w14:textId="4A31CC22" w:rsidR="0058760F" w:rsidRPr="003F470D" w:rsidRDefault="0058760F" w:rsidP="0058760F">
      <w:pPr>
        <w:pStyle w:val="Heading2"/>
        <w:rPr>
          <w:rFonts w:asciiTheme="minorHAnsi" w:hAnsiTheme="minorHAnsi" w:cstheme="minorHAnsi"/>
          <w:lang w:val="en-US"/>
        </w:rPr>
      </w:pPr>
      <w:r w:rsidRPr="003F470D">
        <w:rPr>
          <w:rFonts w:asciiTheme="minorHAnsi" w:hAnsiTheme="minorHAnsi" w:cstheme="minorHAnsi"/>
          <w:lang w:val="en-US"/>
        </w:rPr>
        <w:t>Activities and deliverables</w:t>
      </w:r>
    </w:p>
    <w:p w14:paraId="5302B65D" w14:textId="77777777" w:rsidR="0058760F" w:rsidRPr="003F470D" w:rsidRDefault="0058760F" w:rsidP="0058760F">
      <w:pPr>
        <w:rPr>
          <w:rFonts w:asciiTheme="minorHAnsi" w:hAnsiTheme="minorHAnsi" w:cstheme="minorHAnsi"/>
          <w:lang w:val="en-US"/>
        </w:rPr>
      </w:pPr>
      <w:r w:rsidRPr="003F470D">
        <w:rPr>
          <w:rFonts w:asciiTheme="minorHAnsi" w:hAnsiTheme="minorHAnsi" w:cstheme="minorHAnsi"/>
          <w:lang w:val="en-US"/>
        </w:rPr>
        <w:t>8.</w:t>
      </w:r>
      <w:r w:rsidRPr="003F470D">
        <w:rPr>
          <w:rFonts w:asciiTheme="minorHAnsi" w:hAnsiTheme="minorHAnsi" w:cstheme="minorHAnsi"/>
          <w:lang w:val="en-US"/>
        </w:rPr>
        <w:tab/>
        <w:t>Within the identified scope the expert group will be divided over two interlinked tracks:</w:t>
      </w:r>
    </w:p>
    <w:p w14:paraId="2A1ADF89" w14:textId="77777777" w:rsidR="0058760F" w:rsidRPr="00E17234" w:rsidRDefault="0058760F" w:rsidP="00E17234">
      <w:pPr>
        <w:spacing w:before="120" w:line="276" w:lineRule="auto"/>
        <w:rPr>
          <w:rFonts w:asciiTheme="minorHAnsi" w:hAnsiTheme="minorHAnsi" w:cstheme="minorHAnsi"/>
          <w:u w:val="single"/>
          <w:lang w:val="en-US"/>
        </w:rPr>
      </w:pPr>
      <w:r w:rsidRPr="00E17234">
        <w:rPr>
          <w:rFonts w:asciiTheme="minorHAnsi" w:hAnsiTheme="minorHAnsi" w:cstheme="minorHAnsi"/>
          <w:u w:val="single"/>
          <w:lang w:val="en-US"/>
        </w:rPr>
        <w:t xml:space="preserve">Develop </w:t>
      </w:r>
      <w:proofErr w:type="gramStart"/>
      <w:r w:rsidRPr="00E17234">
        <w:rPr>
          <w:rFonts w:asciiTheme="minorHAnsi" w:hAnsiTheme="minorHAnsi" w:cstheme="minorHAnsi"/>
          <w:u w:val="single"/>
          <w:lang w:val="en-US"/>
        </w:rPr>
        <w:t>guidance</w:t>
      </w:r>
      <w:proofErr w:type="gramEnd"/>
    </w:p>
    <w:p w14:paraId="63FE44C3" w14:textId="77777777" w:rsidR="0058760F" w:rsidRPr="003F470D" w:rsidRDefault="0058760F" w:rsidP="0058760F">
      <w:pPr>
        <w:ind w:left="360"/>
        <w:rPr>
          <w:rFonts w:asciiTheme="minorHAnsi" w:hAnsiTheme="minorHAnsi" w:cstheme="minorHAnsi"/>
          <w:lang w:val="en-US"/>
        </w:rPr>
      </w:pPr>
      <w:r w:rsidRPr="003F470D">
        <w:rPr>
          <w:rFonts w:asciiTheme="minorHAnsi" w:hAnsiTheme="minorHAnsi" w:cstheme="minorHAnsi"/>
          <w:lang w:val="en-US"/>
        </w:rPr>
        <w:lastRenderedPageBreak/>
        <w:t>The guidance focusses on an extensive update/improvement on the OSPAR guidance document of 2012 by answering the following questions:</w:t>
      </w:r>
    </w:p>
    <w:p w14:paraId="2CA0DD4F" w14:textId="77777777" w:rsidR="0058760F" w:rsidRPr="003F470D" w:rsidRDefault="0058760F" w:rsidP="0058760F">
      <w:pPr>
        <w:pStyle w:val="ListParagraph"/>
        <w:numPr>
          <w:ilvl w:val="0"/>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 xml:space="preserve">Based on the human activities identified for MSFD </w:t>
      </w:r>
      <w:sdt>
        <w:sdtPr>
          <w:rPr>
            <w:rFonts w:asciiTheme="minorHAnsi" w:hAnsiTheme="minorHAnsi" w:cstheme="minorHAnsi"/>
            <w:lang w:val="en-US"/>
          </w:rPr>
          <w:id w:val="-2064863852"/>
          <w:citation/>
        </w:sdtPr>
        <w:sdtEndPr/>
        <w:sdtContent>
          <w:r w:rsidRPr="003F470D">
            <w:rPr>
              <w:rFonts w:asciiTheme="minorHAnsi" w:hAnsiTheme="minorHAnsi" w:cstheme="minorHAnsi"/>
              <w:lang w:val="en-US"/>
            </w:rPr>
            <w:fldChar w:fldCharType="begin"/>
          </w:r>
          <w:r w:rsidRPr="003F470D">
            <w:rPr>
              <w:rFonts w:asciiTheme="minorHAnsi" w:hAnsiTheme="minorHAnsi" w:cstheme="minorHAnsi"/>
              <w:lang w:val="en-US"/>
            </w:rPr>
            <w:instrText xml:space="preserve">CITATION Aca22 \l 1033 </w:instrText>
          </w:r>
          <w:r w:rsidRPr="003F470D">
            <w:rPr>
              <w:rFonts w:asciiTheme="minorHAnsi" w:hAnsiTheme="minorHAnsi" w:cstheme="minorHAnsi"/>
              <w:lang w:val="en-US"/>
            </w:rPr>
            <w:fldChar w:fldCharType="separate"/>
          </w:r>
          <w:r w:rsidRPr="003F470D">
            <w:rPr>
              <w:rFonts w:asciiTheme="minorHAnsi" w:hAnsiTheme="minorHAnsi" w:cstheme="minorHAnsi"/>
              <w:noProof/>
              <w:lang w:val="en-US"/>
            </w:rPr>
            <w:t>(Acangeli, et al., 2022)</w:t>
          </w:r>
          <w:r w:rsidRPr="003F470D">
            <w:rPr>
              <w:rFonts w:asciiTheme="minorHAnsi" w:hAnsiTheme="minorHAnsi" w:cstheme="minorHAnsi"/>
              <w:lang w:val="en-US"/>
            </w:rPr>
            <w:fldChar w:fldCharType="end"/>
          </w:r>
        </w:sdtContent>
      </w:sdt>
      <w:r w:rsidRPr="003F470D">
        <w:rPr>
          <w:rFonts w:asciiTheme="minorHAnsi" w:hAnsiTheme="minorHAnsi" w:cstheme="minorHAnsi"/>
          <w:lang w:val="en-US"/>
        </w:rPr>
        <w:t xml:space="preserve"> can we clearly define ‘physical loss of the natural seabed’ that causes a (permanent) alteration in hydrographical conditions; specifically in consideration of the definition which has been agreed through the development of other indicator thresholds and on what scale?</w:t>
      </w:r>
    </w:p>
    <w:p w14:paraId="3256EBD4" w14:textId="77777777" w:rsidR="0058760F" w:rsidRPr="003F470D" w:rsidRDefault="0058760F" w:rsidP="0058760F">
      <w:pPr>
        <w:pStyle w:val="ListParagraph"/>
        <w:numPr>
          <w:ilvl w:val="0"/>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When are alterations in hydrographical conditions considered significant enough to be reported?</w:t>
      </w:r>
    </w:p>
    <w:p w14:paraId="4BA1EC79" w14:textId="77777777" w:rsidR="0058760F" w:rsidRPr="003F470D" w:rsidRDefault="0058760F" w:rsidP="0058760F">
      <w:pPr>
        <w:pStyle w:val="ListParagraph"/>
        <w:numPr>
          <w:ilvl w:val="1"/>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 xml:space="preserve">What is the best practice statistical analysis available to identify a significant departure in hydrographical conditions from the reference state? </w:t>
      </w:r>
    </w:p>
    <w:p w14:paraId="1DF9AA3D" w14:textId="77777777" w:rsidR="0058760F" w:rsidRPr="003F470D" w:rsidRDefault="0058760F" w:rsidP="0058760F">
      <w:pPr>
        <w:pStyle w:val="ListParagraph"/>
        <w:numPr>
          <w:ilvl w:val="1"/>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In addition, what change in hydrographical results in an impact (e.g., identify pressure-response curves)?</w:t>
      </w:r>
    </w:p>
    <w:p w14:paraId="0E049631" w14:textId="77777777" w:rsidR="0058760F" w:rsidRPr="003F470D" w:rsidRDefault="0058760F" w:rsidP="0058760F">
      <w:pPr>
        <w:pStyle w:val="ListParagraph"/>
        <w:numPr>
          <w:ilvl w:val="1"/>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What sampling regime would be required to ensure sufficient data to undertake this analysis? Also, considering the use of specific models?</w:t>
      </w:r>
    </w:p>
    <w:p w14:paraId="610299D5" w14:textId="77777777" w:rsidR="0058760F" w:rsidRPr="003F470D" w:rsidRDefault="0058760F" w:rsidP="0058760F">
      <w:pPr>
        <w:pStyle w:val="ListParagraph"/>
        <w:numPr>
          <w:ilvl w:val="0"/>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 xml:space="preserve">How do alterations in </w:t>
      </w:r>
      <w:proofErr w:type="gramStart"/>
      <w:r w:rsidRPr="003F470D">
        <w:rPr>
          <w:rFonts w:asciiTheme="minorHAnsi" w:hAnsiTheme="minorHAnsi" w:cstheme="minorHAnsi"/>
          <w:lang w:val="en-US"/>
        </w:rPr>
        <w:t>hydrographical</w:t>
      </w:r>
      <w:proofErr w:type="gramEnd"/>
      <w:r w:rsidRPr="003F470D">
        <w:rPr>
          <w:rFonts w:asciiTheme="minorHAnsi" w:hAnsiTheme="minorHAnsi" w:cstheme="minorHAnsi"/>
          <w:lang w:val="en-US"/>
        </w:rPr>
        <w:t xml:space="preserve"> conditions relate to the seabed, and how do they affect the water column processes, mixing and sediment transport? And which effects in the water column should be linked to pelagic habitats?</w:t>
      </w:r>
    </w:p>
    <w:p w14:paraId="3BD47DE2" w14:textId="7061ECC9" w:rsidR="0058760F" w:rsidRPr="003F470D" w:rsidRDefault="0058760F" w:rsidP="0058760F">
      <w:pPr>
        <w:pStyle w:val="ListParagraph"/>
        <w:numPr>
          <w:ilvl w:val="0"/>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Besides the effect on the seabed how do changes in hydrographical conditions effect other</w:t>
      </w:r>
      <w:r w:rsidR="00C3466C" w:rsidRPr="003F470D">
        <w:rPr>
          <w:rFonts w:asciiTheme="minorHAnsi" w:hAnsiTheme="minorHAnsi" w:cstheme="minorHAnsi"/>
          <w:lang w:val="en-US"/>
        </w:rPr>
        <w:t xml:space="preserve"> aspects of the marine environment</w:t>
      </w:r>
      <w:r w:rsidRPr="003F470D">
        <w:rPr>
          <w:rFonts w:asciiTheme="minorHAnsi" w:hAnsiTheme="minorHAnsi" w:cstheme="minorHAnsi"/>
          <w:lang w:val="en-US"/>
        </w:rPr>
        <w:t xml:space="preserve"> (like biodiversity, food webs and eutrophication) and does a general analysis of the alteration in hydrographical conditions be included as boundary to other descriptors?</w:t>
      </w:r>
    </w:p>
    <w:p w14:paraId="61EE2A74" w14:textId="77777777" w:rsidR="0058760F" w:rsidRPr="003F470D" w:rsidRDefault="0058760F" w:rsidP="0058760F">
      <w:pPr>
        <w:pStyle w:val="ListParagraph"/>
        <w:numPr>
          <w:ilvl w:val="0"/>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What is currently the best practice in assessing the impacts of physical loss of natural seabed on hydrographical conditions and how can Contracting Parties benefit from the latest studies? And how can project specific results be applied to a broader assessment?</w:t>
      </w:r>
    </w:p>
    <w:p w14:paraId="08DF9ECD" w14:textId="77777777" w:rsidR="0058760F" w:rsidRPr="003F470D" w:rsidRDefault="0058760F" w:rsidP="0058760F">
      <w:pPr>
        <w:pStyle w:val="ListParagraph"/>
        <w:numPr>
          <w:ilvl w:val="0"/>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What is the hydrographical extent (footprint) per activity that should be accounted for? And specifically, what are the cumulative impacts of all human activities?</w:t>
      </w:r>
    </w:p>
    <w:p w14:paraId="05DBDF37" w14:textId="77777777" w:rsidR="0058760F" w:rsidRPr="003F470D" w:rsidRDefault="0058760F" w:rsidP="0058760F">
      <w:pPr>
        <w:pStyle w:val="ListParagraph"/>
        <w:numPr>
          <w:ilvl w:val="0"/>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How do different hydrographic conditions cumulatively affect benthic habitats?</w:t>
      </w:r>
    </w:p>
    <w:p w14:paraId="5F0EF20F" w14:textId="77777777" w:rsidR="0058760F" w:rsidRPr="003F470D" w:rsidRDefault="0058760F" w:rsidP="0058760F">
      <w:pPr>
        <w:pStyle w:val="ListParagraph"/>
        <w:numPr>
          <w:ilvl w:val="0"/>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 xml:space="preserve">In consideration of the MSFD Article 8 Guidance what spatial scales are appropriate for the assessment of D7? How can an expert group on </w:t>
      </w:r>
      <w:proofErr w:type="gramStart"/>
      <w:r w:rsidRPr="003F470D">
        <w:rPr>
          <w:rFonts w:asciiTheme="minorHAnsi" w:hAnsiTheme="minorHAnsi" w:cstheme="minorHAnsi"/>
          <w:lang w:val="en-US"/>
        </w:rPr>
        <w:t>hydrographical</w:t>
      </w:r>
      <w:proofErr w:type="gramEnd"/>
      <w:r w:rsidRPr="003F470D">
        <w:rPr>
          <w:rFonts w:asciiTheme="minorHAnsi" w:hAnsiTheme="minorHAnsi" w:cstheme="minorHAnsi"/>
          <w:lang w:val="en-US"/>
        </w:rPr>
        <w:t xml:space="preserve"> conditions provide a useful input for assessments of the Member States?</w:t>
      </w:r>
    </w:p>
    <w:p w14:paraId="5B690250" w14:textId="77777777" w:rsidR="0058760F" w:rsidRPr="002C7A10" w:rsidRDefault="0058760F" w:rsidP="002C7A10">
      <w:pPr>
        <w:spacing w:before="120" w:line="276" w:lineRule="auto"/>
        <w:rPr>
          <w:rFonts w:asciiTheme="minorHAnsi" w:hAnsiTheme="minorHAnsi" w:cstheme="minorHAnsi"/>
          <w:u w:val="single"/>
          <w:lang w:val="en-US"/>
        </w:rPr>
      </w:pPr>
      <w:r w:rsidRPr="002C7A10">
        <w:rPr>
          <w:rFonts w:asciiTheme="minorHAnsi" w:hAnsiTheme="minorHAnsi" w:cstheme="minorHAnsi"/>
          <w:u w:val="single"/>
          <w:lang w:val="en-US"/>
        </w:rPr>
        <w:t xml:space="preserve">Develop a regional approach/ </w:t>
      </w:r>
      <w:proofErr w:type="gramStart"/>
      <w:r w:rsidRPr="002C7A10">
        <w:rPr>
          <w:rFonts w:asciiTheme="minorHAnsi" w:hAnsiTheme="minorHAnsi" w:cstheme="minorHAnsi"/>
          <w:u w:val="single"/>
          <w:lang w:val="en-US"/>
        </w:rPr>
        <w:t>assessment</w:t>
      </w:r>
      <w:proofErr w:type="gramEnd"/>
    </w:p>
    <w:p w14:paraId="668AA13C" w14:textId="77777777" w:rsidR="0058760F" w:rsidRPr="003F470D" w:rsidRDefault="0058760F" w:rsidP="0058760F">
      <w:pPr>
        <w:ind w:left="360"/>
        <w:rPr>
          <w:rFonts w:asciiTheme="minorHAnsi" w:hAnsiTheme="minorHAnsi" w:cstheme="minorHAnsi"/>
          <w:lang w:val="en-US"/>
        </w:rPr>
      </w:pPr>
      <w:r w:rsidRPr="003F470D">
        <w:rPr>
          <w:rFonts w:asciiTheme="minorHAnsi" w:hAnsiTheme="minorHAnsi" w:cstheme="minorHAnsi"/>
          <w:lang w:val="en-US"/>
        </w:rPr>
        <w:t>The assessment should be based on a general framework that must be developed.  This framework can include principles for marine spatial planning, approaches on impact assessment, evaluation principles, principles for dealing with uncertainties and data and knowledge gaps and principles on mitigation and compensation.</w:t>
      </w:r>
    </w:p>
    <w:p w14:paraId="6F586365" w14:textId="18DCDBD6" w:rsidR="0058760F" w:rsidRPr="002C7A10" w:rsidRDefault="0058760F" w:rsidP="002C7A10">
      <w:pPr>
        <w:pStyle w:val="Heading2"/>
        <w:rPr>
          <w:rFonts w:asciiTheme="minorHAnsi" w:hAnsiTheme="minorHAnsi" w:cstheme="minorHAnsi"/>
          <w:lang w:val="en-US"/>
        </w:rPr>
      </w:pPr>
      <w:r w:rsidRPr="002C7A10">
        <w:rPr>
          <w:rFonts w:asciiTheme="minorHAnsi" w:hAnsiTheme="minorHAnsi" w:cstheme="minorHAnsi"/>
          <w:lang w:val="en-US"/>
        </w:rPr>
        <w:t>Initial tasks for 2024/2026</w:t>
      </w:r>
    </w:p>
    <w:p w14:paraId="2CEA0969" w14:textId="77777777" w:rsidR="0058760F" w:rsidRPr="003F470D" w:rsidRDefault="0058760F" w:rsidP="002C7A10">
      <w:pPr>
        <w:pStyle w:val="ListParagraph"/>
        <w:numPr>
          <w:ilvl w:val="0"/>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 xml:space="preserve">Expert Group Alteration of Hydrographical Conditions will develop draft common principles for a regional sea approach </w:t>
      </w:r>
      <w:proofErr w:type="gramStart"/>
      <w:r w:rsidRPr="003F470D">
        <w:rPr>
          <w:rFonts w:asciiTheme="minorHAnsi" w:hAnsiTheme="minorHAnsi" w:cstheme="minorHAnsi"/>
          <w:lang w:val="en-US"/>
        </w:rPr>
        <w:t>focus</w:t>
      </w:r>
      <w:proofErr w:type="gramEnd"/>
      <w:r w:rsidRPr="003F470D">
        <w:rPr>
          <w:rFonts w:asciiTheme="minorHAnsi" w:hAnsiTheme="minorHAnsi" w:cstheme="minorHAnsi"/>
          <w:lang w:val="en-US"/>
        </w:rPr>
        <w:t xml:space="preserve"> on hydrographical conditions.</w:t>
      </w:r>
    </w:p>
    <w:p w14:paraId="2977D464" w14:textId="77777777" w:rsidR="0058760F" w:rsidRPr="003F470D" w:rsidRDefault="0058760F" w:rsidP="002C7A10">
      <w:pPr>
        <w:pStyle w:val="ListParagraph"/>
        <w:numPr>
          <w:ilvl w:val="0"/>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 xml:space="preserve">Expert Group Alteration of Hydrographical Conditions will contribute to NEAES </w:t>
      </w:r>
      <w:r w:rsidRPr="002C7A10">
        <w:rPr>
          <w:rFonts w:asciiTheme="minorHAnsi" w:hAnsiTheme="minorHAnsi" w:cstheme="minorHAnsi"/>
          <w:lang w:val="en-US"/>
        </w:rPr>
        <w:t xml:space="preserve">Task </w:t>
      </w:r>
      <w:proofErr w:type="gramStart"/>
      <w:r w:rsidRPr="002C7A10">
        <w:rPr>
          <w:rFonts w:asciiTheme="minorHAnsi" w:hAnsiTheme="minorHAnsi" w:cstheme="minorHAnsi"/>
          <w:lang w:val="en-US"/>
        </w:rPr>
        <w:t>SX.O</w:t>
      </w:r>
      <w:proofErr w:type="gramEnd"/>
      <w:r w:rsidRPr="002C7A10">
        <w:rPr>
          <w:rFonts w:asciiTheme="minorHAnsi" w:hAnsiTheme="minorHAnsi" w:cstheme="minorHAnsi"/>
          <w:lang w:val="en-US"/>
        </w:rPr>
        <w:t>1.T1 (Supporting OSPAR’s Contracting Parties that are EU Member States in implementing the Commission Decision (EU) 2017/848 on GES) and if appropriate draw up one or more tasks for inclusion within the NEAES 2030 Implementation Plan.</w:t>
      </w:r>
    </w:p>
    <w:p w14:paraId="751BD299" w14:textId="77777777" w:rsidR="0058760F" w:rsidRPr="003F470D" w:rsidRDefault="0058760F" w:rsidP="002C7A10">
      <w:pPr>
        <w:pStyle w:val="ListParagraph"/>
        <w:numPr>
          <w:ilvl w:val="0"/>
          <w:numId w:val="43"/>
        </w:numPr>
        <w:spacing w:line="276" w:lineRule="auto"/>
        <w:jc w:val="both"/>
        <w:rPr>
          <w:rFonts w:asciiTheme="minorHAnsi" w:hAnsiTheme="minorHAnsi" w:cstheme="minorHAnsi"/>
          <w:lang w:val="en-US"/>
        </w:rPr>
      </w:pPr>
      <w:r w:rsidRPr="003F470D">
        <w:rPr>
          <w:rFonts w:asciiTheme="minorHAnsi" w:hAnsiTheme="minorHAnsi" w:cstheme="minorHAnsi"/>
          <w:lang w:val="en-US"/>
        </w:rPr>
        <w:t xml:space="preserve">Expert Group Alteration of Hydrographical Conditions will develop and apply a time-bound working plan elaborating on the mentioned activities, </w:t>
      </w:r>
      <w:proofErr w:type="gramStart"/>
      <w:r w:rsidRPr="003F470D">
        <w:rPr>
          <w:rFonts w:asciiTheme="minorHAnsi" w:hAnsiTheme="minorHAnsi" w:cstheme="minorHAnsi"/>
          <w:lang w:val="en-US"/>
        </w:rPr>
        <w:t>milestones</w:t>
      </w:r>
      <w:proofErr w:type="gramEnd"/>
      <w:r w:rsidRPr="003F470D">
        <w:rPr>
          <w:rFonts w:asciiTheme="minorHAnsi" w:hAnsiTheme="minorHAnsi" w:cstheme="minorHAnsi"/>
          <w:lang w:val="en-US"/>
        </w:rPr>
        <w:t xml:space="preserve"> and planning.</w:t>
      </w:r>
    </w:p>
    <w:p w14:paraId="476B225B" w14:textId="77C5C185" w:rsidR="0058760F" w:rsidRPr="003F470D" w:rsidRDefault="0058760F" w:rsidP="0058760F">
      <w:pPr>
        <w:pStyle w:val="Heading2"/>
        <w:rPr>
          <w:rFonts w:asciiTheme="minorHAnsi" w:hAnsiTheme="minorHAnsi" w:cstheme="minorHAnsi"/>
          <w:lang w:val="en-US"/>
        </w:rPr>
      </w:pPr>
      <w:r w:rsidRPr="003F470D">
        <w:rPr>
          <w:rFonts w:asciiTheme="minorHAnsi" w:hAnsiTheme="minorHAnsi" w:cstheme="minorHAnsi"/>
          <w:lang w:val="en-US"/>
        </w:rPr>
        <w:lastRenderedPageBreak/>
        <w:t>Working procedures</w:t>
      </w:r>
    </w:p>
    <w:p w14:paraId="459955DC" w14:textId="5F35E134" w:rsidR="008D6A22" w:rsidRPr="003F470D" w:rsidRDefault="0058760F" w:rsidP="79B2EE41">
      <w:pPr>
        <w:rPr>
          <w:rFonts w:asciiTheme="minorHAnsi" w:hAnsiTheme="minorHAnsi" w:cstheme="minorHAnsi"/>
          <w:lang w:val="en-US"/>
        </w:rPr>
      </w:pPr>
      <w:r w:rsidRPr="003F470D">
        <w:rPr>
          <w:rFonts w:asciiTheme="minorHAnsi" w:hAnsiTheme="minorHAnsi" w:cstheme="minorHAnsi"/>
          <w:lang w:val="en-US"/>
        </w:rPr>
        <w:t>8.</w:t>
      </w:r>
      <w:r w:rsidRPr="003F470D">
        <w:rPr>
          <w:rFonts w:asciiTheme="minorHAnsi" w:hAnsiTheme="minorHAnsi" w:cstheme="minorHAnsi"/>
          <w:lang w:val="en-US"/>
        </w:rPr>
        <w:tab/>
        <w:t>The Expert Group will liaise with other expert groups of OSPAR, such as within EIHA (Environmental Impacts of Human Activities), ICG-ORED (Offshore Renewable Energy Development</w:t>
      </w:r>
      <w:r w:rsidR="00995AAD" w:rsidRPr="003F470D">
        <w:rPr>
          <w:rFonts w:asciiTheme="minorHAnsi" w:hAnsiTheme="minorHAnsi" w:cstheme="minorHAnsi"/>
          <w:lang w:val="en-US"/>
        </w:rPr>
        <w:t>)</w:t>
      </w:r>
      <w:r w:rsidRPr="003F470D">
        <w:rPr>
          <w:rFonts w:asciiTheme="minorHAnsi" w:hAnsiTheme="minorHAnsi" w:cstheme="minorHAnsi"/>
          <w:lang w:val="en-US"/>
        </w:rPr>
        <w:t>, ICG-Eco-C (Cumulative effects)</w:t>
      </w:r>
      <w:r w:rsidR="00995AAD" w:rsidRPr="003F470D">
        <w:rPr>
          <w:rFonts w:asciiTheme="minorHAnsi" w:hAnsiTheme="minorHAnsi" w:cstheme="minorHAnsi"/>
          <w:lang w:val="en-US"/>
        </w:rPr>
        <w:t>, WG-COCOA (Ocean Acidification and Climate)</w:t>
      </w:r>
      <w:r w:rsidRPr="003F470D">
        <w:rPr>
          <w:rFonts w:asciiTheme="minorHAnsi" w:hAnsiTheme="minorHAnsi" w:cstheme="minorHAnsi"/>
          <w:lang w:val="en-US"/>
        </w:rPr>
        <w:t xml:space="preserve"> or BDC (Biological Diversity &amp; Ecosystems)</w:t>
      </w:r>
      <w:r w:rsidR="0A70562C" w:rsidRPr="003F470D">
        <w:rPr>
          <w:rFonts w:asciiTheme="minorHAnsi" w:hAnsiTheme="minorHAnsi" w:cstheme="minorHAnsi"/>
          <w:lang w:val="en-US"/>
        </w:rPr>
        <w:t xml:space="preserve">, </w:t>
      </w:r>
      <w:r w:rsidR="0A70562C" w:rsidRPr="003F470D">
        <w:rPr>
          <w:rFonts w:asciiTheme="minorHAnsi" w:eastAsia="Aptos" w:hAnsiTheme="minorHAnsi" w:cstheme="minorHAnsi"/>
          <w:szCs w:val="22"/>
          <w:lang w:val="en-US"/>
        </w:rPr>
        <w:t>and where appropriate collaborate to ensure efficiencies and the sharing of expertise and resources</w:t>
      </w:r>
      <w:r w:rsidRPr="003F470D">
        <w:rPr>
          <w:rFonts w:asciiTheme="minorHAnsi" w:hAnsiTheme="minorHAnsi" w:cstheme="minorHAnsi"/>
          <w:lang w:val="en-US"/>
        </w:rPr>
        <w:t>. ICG-ORED focusses on all offshore renewable energy developments and their potential pressure on the marine environment. The scope of ICG-ORED is broad, but currently priority is given to marine birds, because of the poor status in parts of the OSPAR maritime area. Therefore, the work ICG-ORED is not directly focusing on hydrographical conditions, which should also have more focus on coordination with other descriptors/ indicators (covering biodiversity, food webs and sea floor integrity). As mixing-characteristics could be changed, as indicated above, a link to eutrophication may need to be considered</w:t>
      </w:r>
      <w:sdt>
        <w:sdtPr>
          <w:rPr>
            <w:rFonts w:asciiTheme="minorHAnsi" w:hAnsiTheme="minorHAnsi" w:cstheme="minorHAnsi"/>
            <w:lang w:val="en-US"/>
          </w:rPr>
          <w:id w:val="-250735966"/>
          <w:citation/>
        </w:sdtPr>
        <w:sdtEndPr/>
        <w:sdtContent>
          <w:r w:rsidRPr="003F470D">
            <w:rPr>
              <w:rFonts w:asciiTheme="minorHAnsi" w:hAnsiTheme="minorHAnsi" w:cstheme="minorHAnsi"/>
              <w:lang w:val="en-US"/>
            </w:rPr>
            <w:fldChar w:fldCharType="begin"/>
          </w:r>
          <w:r w:rsidRPr="003F470D">
            <w:rPr>
              <w:rFonts w:asciiTheme="minorHAnsi" w:hAnsiTheme="minorHAnsi" w:cstheme="minorHAnsi"/>
              <w:lang w:val="en-US"/>
            </w:rPr>
            <w:instrText xml:space="preserve"> CITATION OSP12 \l 1033 </w:instrText>
          </w:r>
          <w:r w:rsidRPr="003F470D">
            <w:rPr>
              <w:rFonts w:asciiTheme="minorHAnsi" w:hAnsiTheme="minorHAnsi" w:cstheme="minorHAnsi"/>
              <w:lang w:val="en-US"/>
            </w:rPr>
            <w:fldChar w:fldCharType="separate"/>
          </w:r>
          <w:r w:rsidRPr="003F470D">
            <w:rPr>
              <w:rFonts w:asciiTheme="minorHAnsi" w:hAnsiTheme="minorHAnsi" w:cstheme="minorHAnsi"/>
              <w:noProof/>
              <w:lang w:val="en-US"/>
            </w:rPr>
            <w:t xml:space="preserve"> (OSPAR, 2012)</w:t>
          </w:r>
          <w:r w:rsidRPr="003F470D">
            <w:rPr>
              <w:rFonts w:asciiTheme="minorHAnsi" w:hAnsiTheme="minorHAnsi" w:cstheme="minorHAnsi"/>
              <w:lang w:val="en-US"/>
            </w:rPr>
            <w:fldChar w:fldCharType="end"/>
          </w:r>
        </w:sdtContent>
      </w:sdt>
      <w:r w:rsidRPr="003F470D">
        <w:rPr>
          <w:rFonts w:asciiTheme="minorHAnsi" w:hAnsiTheme="minorHAnsi" w:cstheme="minorHAnsi"/>
          <w:lang w:val="en-US"/>
        </w:rPr>
        <w:t xml:space="preserve">. Cumulative impacts of developments on a regional seas scale will be as important </w:t>
      </w:r>
      <w:proofErr w:type="gramStart"/>
      <w:r w:rsidRPr="003F470D">
        <w:rPr>
          <w:rFonts w:asciiTheme="minorHAnsi" w:hAnsiTheme="minorHAnsi" w:cstheme="minorHAnsi"/>
          <w:lang w:val="en-US"/>
        </w:rPr>
        <w:t>as well as</w:t>
      </w:r>
      <w:proofErr w:type="gramEnd"/>
      <w:r w:rsidRPr="003F470D">
        <w:rPr>
          <w:rFonts w:asciiTheme="minorHAnsi" w:hAnsiTheme="minorHAnsi" w:cstheme="minorHAnsi"/>
          <w:lang w:val="en-US"/>
        </w:rPr>
        <w:t xml:space="preserve"> the local effects, which might require connection with ICG-Eco-C that carries out broad cumulative impacts work. </w:t>
      </w:r>
    </w:p>
    <w:p w14:paraId="237B256D" w14:textId="410462E8" w:rsidR="00E076C6" w:rsidRPr="003F470D" w:rsidRDefault="002C7A10" w:rsidP="79B2EE41">
      <w:pPr>
        <w:rPr>
          <w:rFonts w:asciiTheme="minorHAnsi" w:hAnsiTheme="minorHAnsi" w:cstheme="minorHAnsi"/>
          <w:lang w:val="en-US"/>
        </w:rPr>
      </w:pPr>
      <w:r>
        <w:rPr>
          <w:rFonts w:asciiTheme="minorHAnsi" w:hAnsiTheme="minorHAnsi" w:cstheme="minorHAnsi"/>
          <w:lang w:val="en-US"/>
        </w:rPr>
        <w:t>9.</w:t>
      </w:r>
      <w:r>
        <w:rPr>
          <w:rFonts w:asciiTheme="minorHAnsi" w:hAnsiTheme="minorHAnsi" w:cstheme="minorHAnsi"/>
          <w:lang w:val="en-US"/>
        </w:rPr>
        <w:tab/>
      </w:r>
      <w:r w:rsidR="00E076C6" w:rsidRPr="003F470D">
        <w:rPr>
          <w:rFonts w:asciiTheme="minorHAnsi" w:hAnsiTheme="minorHAnsi" w:cstheme="minorHAnsi"/>
          <w:lang w:val="en-US"/>
        </w:rPr>
        <w:t xml:space="preserve">The Expert Group should look to </w:t>
      </w:r>
      <w:proofErr w:type="spellStart"/>
      <w:r w:rsidR="00E076C6" w:rsidRPr="003F470D">
        <w:rPr>
          <w:rFonts w:asciiTheme="minorHAnsi" w:hAnsiTheme="minorHAnsi" w:cstheme="minorHAnsi"/>
          <w:lang w:val="en-US"/>
        </w:rPr>
        <w:t>maximise</w:t>
      </w:r>
      <w:proofErr w:type="spellEnd"/>
      <w:r w:rsidR="00E076C6" w:rsidRPr="003F470D">
        <w:rPr>
          <w:rFonts w:asciiTheme="minorHAnsi" w:hAnsiTheme="minorHAnsi" w:cstheme="minorHAnsi"/>
          <w:lang w:val="en-US"/>
        </w:rPr>
        <w:t xml:space="preserve"> the impact of its work and avoid duplication of effort by regularly communicating </w:t>
      </w:r>
      <w:r w:rsidR="002E2BC9" w:rsidRPr="003F470D">
        <w:rPr>
          <w:rFonts w:asciiTheme="minorHAnsi" w:hAnsiTheme="minorHAnsi" w:cstheme="minorHAnsi"/>
          <w:lang w:val="en-US"/>
        </w:rPr>
        <w:t xml:space="preserve">and engaging </w:t>
      </w:r>
      <w:r w:rsidR="00E076C6" w:rsidRPr="003F470D">
        <w:rPr>
          <w:rFonts w:asciiTheme="minorHAnsi" w:hAnsiTheme="minorHAnsi" w:cstheme="minorHAnsi"/>
          <w:lang w:val="en-US"/>
        </w:rPr>
        <w:t>with ICES</w:t>
      </w:r>
      <w:r w:rsidR="002E2BC9" w:rsidRPr="003F470D">
        <w:rPr>
          <w:rFonts w:asciiTheme="minorHAnsi" w:hAnsiTheme="minorHAnsi" w:cstheme="minorHAnsi"/>
          <w:lang w:val="en-US"/>
        </w:rPr>
        <w:t xml:space="preserve">, The Great North Sea Basin Initiative (GNSBI) and </w:t>
      </w:r>
      <w:r w:rsidR="00E076C6" w:rsidRPr="003F470D">
        <w:rPr>
          <w:rFonts w:asciiTheme="minorHAnsi" w:hAnsiTheme="minorHAnsi" w:cstheme="minorHAnsi"/>
          <w:lang w:val="en-US"/>
        </w:rPr>
        <w:t>other regional seas programs on any related work they are doing.</w:t>
      </w:r>
    </w:p>
    <w:p w14:paraId="6A8251D4" w14:textId="364F6C6B" w:rsidR="0058760F" w:rsidRPr="003F470D" w:rsidRDefault="002C7A10" w:rsidP="0058760F">
      <w:pPr>
        <w:rPr>
          <w:rFonts w:asciiTheme="minorHAnsi" w:hAnsiTheme="minorHAnsi" w:cstheme="minorHAnsi"/>
          <w:lang w:val="en-US"/>
        </w:rPr>
      </w:pPr>
      <w:r>
        <w:rPr>
          <w:rFonts w:asciiTheme="minorHAnsi" w:hAnsiTheme="minorHAnsi" w:cstheme="minorHAnsi"/>
          <w:lang w:val="en-US"/>
        </w:rPr>
        <w:t>10</w:t>
      </w:r>
      <w:r w:rsidR="0058760F" w:rsidRPr="003F470D">
        <w:rPr>
          <w:rFonts w:asciiTheme="minorHAnsi" w:hAnsiTheme="minorHAnsi" w:cstheme="minorHAnsi"/>
          <w:lang w:val="en-US"/>
        </w:rPr>
        <w:t xml:space="preserve">. </w:t>
      </w:r>
      <w:r w:rsidR="0058760F" w:rsidRPr="003F470D">
        <w:rPr>
          <w:rFonts w:asciiTheme="minorHAnsi" w:hAnsiTheme="minorHAnsi" w:cstheme="minorHAnsi"/>
          <w:lang w:val="en-US"/>
        </w:rPr>
        <w:tab/>
        <w:t xml:space="preserve">The Expert Group will meet two times a year; in May with (if possible) a meeting in person (hybrid possible) and in October in a virtual meeting. In between, subgroups can meet in a way and frequency as they deem necessary virtually. </w:t>
      </w:r>
    </w:p>
    <w:p w14:paraId="248A2A6D" w14:textId="1A8BEF4F" w:rsidR="0058760F" w:rsidRPr="003F470D" w:rsidRDefault="0058760F" w:rsidP="0058760F">
      <w:pPr>
        <w:rPr>
          <w:rFonts w:asciiTheme="minorHAnsi" w:hAnsiTheme="minorHAnsi" w:cstheme="minorHAnsi"/>
          <w:lang w:val="en-US"/>
        </w:rPr>
      </w:pPr>
      <w:r w:rsidRPr="003F470D">
        <w:rPr>
          <w:rFonts w:asciiTheme="minorHAnsi" w:hAnsiTheme="minorHAnsi" w:cstheme="minorHAnsi"/>
          <w:lang w:val="en-US"/>
        </w:rPr>
        <w:t>1</w:t>
      </w:r>
      <w:r w:rsidR="002C7A10">
        <w:rPr>
          <w:rFonts w:asciiTheme="minorHAnsi" w:hAnsiTheme="minorHAnsi" w:cstheme="minorHAnsi"/>
          <w:lang w:val="en-US"/>
        </w:rPr>
        <w:t>1</w:t>
      </w:r>
      <w:r w:rsidRPr="003F470D">
        <w:rPr>
          <w:rFonts w:asciiTheme="minorHAnsi" w:hAnsiTheme="minorHAnsi" w:cstheme="minorHAnsi"/>
          <w:lang w:val="en-US"/>
        </w:rPr>
        <w:t>.</w:t>
      </w:r>
      <w:r w:rsidRPr="003F470D">
        <w:rPr>
          <w:rFonts w:asciiTheme="minorHAnsi" w:hAnsiTheme="minorHAnsi" w:cstheme="minorHAnsi"/>
          <w:lang w:val="en-US"/>
        </w:rPr>
        <w:tab/>
        <w:t xml:space="preserve">The Expert Group will report on an annual basis to EIHA on progress made, implementation of NEAES tasks and discuss revision of the </w:t>
      </w:r>
      <w:proofErr w:type="spellStart"/>
      <w:r w:rsidRPr="003F470D">
        <w:rPr>
          <w:rFonts w:asciiTheme="minorHAnsi" w:hAnsiTheme="minorHAnsi" w:cstheme="minorHAnsi"/>
          <w:lang w:val="en-US"/>
        </w:rPr>
        <w:t>ToR</w:t>
      </w:r>
      <w:proofErr w:type="spellEnd"/>
      <w:r w:rsidRPr="003F470D">
        <w:rPr>
          <w:rFonts w:asciiTheme="minorHAnsi" w:hAnsiTheme="minorHAnsi" w:cstheme="minorHAnsi"/>
          <w:lang w:val="en-US"/>
        </w:rPr>
        <w:t xml:space="preserve"> as necessary.</w:t>
      </w:r>
    </w:p>
    <w:p w14:paraId="638A6D77" w14:textId="0F8C1BDE" w:rsidR="0058760F" w:rsidRPr="003F470D" w:rsidRDefault="0058760F" w:rsidP="0058760F">
      <w:pPr>
        <w:rPr>
          <w:rFonts w:asciiTheme="minorHAnsi" w:hAnsiTheme="minorHAnsi" w:cstheme="minorHAnsi"/>
          <w:lang w:val="en-US"/>
        </w:rPr>
      </w:pPr>
      <w:r w:rsidRPr="003F470D">
        <w:rPr>
          <w:rFonts w:asciiTheme="minorHAnsi" w:hAnsiTheme="minorHAnsi" w:cstheme="minorHAnsi"/>
          <w:lang w:val="en-US"/>
        </w:rPr>
        <w:t>1</w:t>
      </w:r>
      <w:r w:rsidR="002C7A10">
        <w:rPr>
          <w:rFonts w:asciiTheme="minorHAnsi" w:hAnsiTheme="minorHAnsi" w:cstheme="minorHAnsi"/>
          <w:lang w:val="en-US"/>
        </w:rPr>
        <w:t>2</w:t>
      </w:r>
      <w:r w:rsidRPr="003F470D">
        <w:rPr>
          <w:rFonts w:asciiTheme="minorHAnsi" w:hAnsiTheme="minorHAnsi" w:cstheme="minorHAnsi"/>
          <w:lang w:val="en-US"/>
        </w:rPr>
        <w:t>.</w:t>
      </w:r>
      <w:r w:rsidRPr="003F470D">
        <w:rPr>
          <w:rFonts w:asciiTheme="minorHAnsi" w:hAnsiTheme="minorHAnsi" w:cstheme="minorHAnsi"/>
          <w:lang w:val="en-US"/>
        </w:rPr>
        <w:tab/>
        <w:t>Continuation of the Expert Group and its mandate will be decided upon by EIHA on a three-year basis.</w:t>
      </w:r>
    </w:p>
    <w:p w14:paraId="50964E37" w14:textId="748ACB60" w:rsidR="0058760F" w:rsidRPr="003F470D" w:rsidRDefault="0058760F" w:rsidP="0058760F">
      <w:pPr>
        <w:pStyle w:val="Heading2"/>
        <w:rPr>
          <w:rFonts w:asciiTheme="minorHAnsi" w:hAnsiTheme="minorHAnsi" w:cstheme="minorHAnsi"/>
          <w:lang w:val="en-US"/>
        </w:rPr>
      </w:pPr>
      <w:r w:rsidRPr="003F470D">
        <w:rPr>
          <w:rFonts w:asciiTheme="minorHAnsi" w:hAnsiTheme="minorHAnsi" w:cstheme="minorHAnsi"/>
          <w:lang w:val="en-US"/>
        </w:rPr>
        <w:t>Co-convener and Participants</w:t>
      </w:r>
    </w:p>
    <w:p w14:paraId="3143619B" w14:textId="198A5105" w:rsidR="0058760F" w:rsidRPr="003F470D" w:rsidRDefault="0058760F" w:rsidP="0058760F">
      <w:pPr>
        <w:rPr>
          <w:rFonts w:asciiTheme="minorHAnsi" w:hAnsiTheme="minorHAnsi" w:cstheme="minorHAnsi"/>
          <w:lang w:val="en-US"/>
        </w:rPr>
      </w:pPr>
      <w:r w:rsidRPr="003F470D">
        <w:rPr>
          <w:rFonts w:asciiTheme="minorHAnsi" w:hAnsiTheme="minorHAnsi" w:cstheme="minorHAnsi"/>
          <w:lang w:val="en-US"/>
        </w:rPr>
        <w:t>1</w:t>
      </w:r>
      <w:r w:rsidR="002C7A10">
        <w:rPr>
          <w:rFonts w:asciiTheme="minorHAnsi" w:hAnsiTheme="minorHAnsi" w:cstheme="minorHAnsi"/>
          <w:lang w:val="en-US"/>
        </w:rPr>
        <w:t>3</w:t>
      </w:r>
      <w:r w:rsidRPr="003F470D">
        <w:rPr>
          <w:rFonts w:asciiTheme="minorHAnsi" w:hAnsiTheme="minorHAnsi" w:cstheme="minorHAnsi"/>
          <w:lang w:val="en-US"/>
        </w:rPr>
        <w:t xml:space="preserve">. </w:t>
      </w:r>
      <w:r w:rsidRPr="003F470D">
        <w:rPr>
          <w:rFonts w:asciiTheme="minorHAnsi" w:hAnsiTheme="minorHAnsi" w:cstheme="minorHAnsi"/>
          <w:lang w:val="en-US"/>
        </w:rPr>
        <w:tab/>
        <w:t>The expert group will be convened by the Netherlands (Wout van Dijk), Belgium (Sébastien Legrand) and is open to all OSPAR Contracting Parties and Observers.</w:t>
      </w:r>
    </w:p>
    <w:p w14:paraId="0104580C" w14:textId="77777777" w:rsidR="0058760F" w:rsidRPr="003F470D" w:rsidRDefault="0058760F" w:rsidP="0058760F">
      <w:pPr>
        <w:rPr>
          <w:rFonts w:asciiTheme="minorHAnsi" w:hAnsiTheme="minorHAnsi" w:cstheme="minorHAnsi"/>
          <w:lang w:val="en-US"/>
        </w:rPr>
      </w:pPr>
    </w:p>
    <w:p w14:paraId="1EB26495" w14:textId="77777777" w:rsidR="0058760F" w:rsidRPr="003F470D" w:rsidRDefault="0058760F" w:rsidP="0058760F">
      <w:pPr>
        <w:pStyle w:val="Bibliography"/>
        <w:ind w:left="720" w:hanging="720"/>
        <w:rPr>
          <w:rFonts w:asciiTheme="minorHAnsi" w:hAnsiTheme="minorHAnsi" w:cstheme="minorHAnsi"/>
          <w:noProof/>
          <w:sz w:val="24"/>
          <w:szCs w:val="24"/>
          <w:lang w:val="en-US"/>
        </w:rPr>
      </w:pPr>
      <w:r w:rsidRPr="003F470D">
        <w:rPr>
          <w:rFonts w:asciiTheme="minorHAnsi" w:hAnsiTheme="minorHAnsi" w:cstheme="minorHAnsi"/>
          <w:sz w:val="18"/>
          <w:szCs w:val="18"/>
          <w:lang w:val="en-US"/>
        </w:rPr>
        <w:fldChar w:fldCharType="begin"/>
      </w:r>
      <w:r w:rsidRPr="003F470D">
        <w:rPr>
          <w:rFonts w:asciiTheme="minorHAnsi" w:hAnsiTheme="minorHAnsi" w:cstheme="minorHAnsi"/>
          <w:lang w:val="en-US"/>
        </w:rPr>
        <w:instrText xml:space="preserve"> BIBLIOGRAPHY  \l 1033 </w:instrText>
      </w:r>
      <w:r w:rsidRPr="003F470D">
        <w:rPr>
          <w:rFonts w:asciiTheme="minorHAnsi" w:hAnsiTheme="minorHAnsi" w:cstheme="minorHAnsi"/>
          <w:sz w:val="18"/>
          <w:szCs w:val="18"/>
          <w:lang w:val="en-US"/>
        </w:rPr>
        <w:fldChar w:fldCharType="separate"/>
      </w:r>
      <w:r w:rsidRPr="003F470D">
        <w:rPr>
          <w:rFonts w:asciiTheme="minorHAnsi" w:hAnsiTheme="minorHAnsi" w:cstheme="minorHAnsi"/>
          <w:noProof/>
          <w:lang w:val="en-US"/>
        </w:rPr>
        <w:t xml:space="preserve">Acangeli, A., Authier, M., Baccetti, N., Borsani, J., Cachera, M., Cariou, V., . . . Zenatello, M. (2022). </w:t>
      </w:r>
      <w:r w:rsidRPr="003F470D">
        <w:rPr>
          <w:rFonts w:asciiTheme="minorHAnsi" w:hAnsiTheme="minorHAnsi" w:cstheme="minorHAnsi"/>
          <w:i/>
          <w:iCs/>
          <w:noProof/>
          <w:lang w:val="en-US"/>
        </w:rPr>
        <w:t>Article 8 MSFD Assessment Guidance.</w:t>
      </w:r>
      <w:r w:rsidRPr="003F470D">
        <w:rPr>
          <w:rFonts w:asciiTheme="minorHAnsi" w:hAnsiTheme="minorHAnsi" w:cstheme="minorHAnsi"/>
          <w:noProof/>
          <w:lang w:val="en-US"/>
        </w:rPr>
        <w:t xml:space="preserve"> MSFD GUIDANCE DOCUMENT 19.</w:t>
      </w:r>
    </w:p>
    <w:p w14:paraId="3CC95FA7" w14:textId="77777777" w:rsidR="0058760F" w:rsidRPr="003F470D" w:rsidRDefault="0058760F" w:rsidP="0058760F">
      <w:pPr>
        <w:pStyle w:val="Bibliography"/>
        <w:ind w:left="720" w:hanging="720"/>
        <w:rPr>
          <w:rFonts w:asciiTheme="minorHAnsi" w:hAnsiTheme="minorHAnsi" w:cstheme="minorHAnsi"/>
          <w:noProof/>
          <w:lang w:val="en-US"/>
        </w:rPr>
      </w:pPr>
      <w:r w:rsidRPr="003F470D">
        <w:rPr>
          <w:rFonts w:asciiTheme="minorHAnsi" w:hAnsiTheme="minorHAnsi" w:cstheme="minorHAnsi"/>
          <w:noProof/>
          <w:lang w:val="en-US"/>
        </w:rPr>
        <w:t xml:space="preserve">Baeye, M., &amp; Fettweis, M. (2015). In situ observations of suspended particulate matter plumes at an offshore wind. </w:t>
      </w:r>
      <w:r w:rsidRPr="003F470D">
        <w:rPr>
          <w:rFonts w:asciiTheme="minorHAnsi" w:hAnsiTheme="minorHAnsi" w:cstheme="minorHAnsi"/>
          <w:i/>
          <w:iCs/>
          <w:noProof/>
          <w:lang w:val="en-US"/>
        </w:rPr>
        <w:t>Geo-Marine Letters</w:t>
      </w:r>
      <w:r w:rsidRPr="003F470D">
        <w:rPr>
          <w:rFonts w:asciiTheme="minorHAnsi" w:hAnsiTheme="minorHAnsi" w:cstheme="minorHAnsi"/>
          <w:noProof/>
          <w:lang w:val="en-US"/>
        </w:rPr>
        <w:t>, 247-255.</w:t>
      </w:r>
    </w:p>
    <w:p w14:paraId="14675F80" w14:textId="77777777" w:rsidR="0058760F" w:rsidRPr="003F470D" w:rsidRDefault="0058760F" w:rsidP="0058760F">
      <w:pPr>
        <w:pStyle w:val="Bibliography"/>
        <w:ind w:left="720" w:hanging="720"/>
        <w:rPr>
          <w:rFonts w:asciiTheme="minorHAnsi" w:hAnsiTheme="minorHAnsi" w:cstheme="minorHAnsi"/>
          <w:noProof/>
          <w:lang w:val="en-US"/>
        </w:rPr>
      </w:pPr>
      <w:r w:rsidRPr="003F470D">
        <w:rPr>
          <w:rFonts w:asciiTheme="minorHAnsi" w:hAnsiTheme="minorHAnsi" w:cstheme="minorHAnsi"/>
          <w:noProof/>
          <w:lang w:val="en-US"/>
        </w:rPr>
        <w:t xml:space="preserve">Daewel, U., Akhtar, N., Christiansen, N., &amp; Schrum, C. (2022). Offshore wind farms are projected to impact primary production and bottom water deoxygenation in the North Sea. </w:t>
      </w:r>
      <w:r w:rsidRPr="003F470D">
        <w:rPr>
          <w:rFonts w:asciiTheme="minorHAnsi" w:hAnsiTheme="minorHAnsi" w:cstheme="minorHAnsi"/>
          <w:i/>
          <w:iCs/>
          <w:noProof/>
          <w:lang w:val="en-US"/>
        </w:rPr>
        <w:t>Communications Earth &amp; Environment</w:t>
      </w:r>
      <w:r w:rsidRPr="003F470D">
        <w:rPr>
          <w:rFonts w:asciiTheme="minorHAnsi" w:hAnsiTheme="minorHAnsi" w:cstheme="minorHAnsi"/>
          <w:noProof/>
          <w:lang w:val="en-US"/>
        </w:rPr>
        <w:t>(3), 292.</w:t>
      </w:r>
    </w:p>
    <w:p w14:paraId="5CC77AC7" w14:textId="77777777" w:rsidR="0058760F" w:rsidRPr="003F470D" w:rsidRDefault="0058760F" w:rsidP="0058760F">
      <w:pPr>
        <w:pStyle w:val="Bibliography"/>
        <w:ind w:left="720" w:hanging="720"/>
        <w:rPr>
          <w:rFonts w:asciiTheme="minorHAnsi" w:hAnsiTheme="minorHAnsi" w:cstheme="minorHAnsi"/>
          <w:noProof/>
          <w:lang w:val="en-US"/>
        </w:rPr>
      </w:pPr>
      <w:r w:rsidRPr="003F470D">
        <w:rPr>
          <w:rFonts w:asciiTheme="minorHAnsi" w:hAnsiTheme="minorHAnsi" w:cstheme="minorHAnsi"/>
          <w:noProof/>
          <w:lang w:val="en-US"/>
        </w:rPr>
        <w:t xml:space="preserve">Friedland, R., Boschetti, S., &amp; Stips, A. (2021). </w:t>
      </w:r>
      <w:r w:rsidRPr="003F470D">
        <w:rPr>
          <w:rFonts w:asciiTheme="minorHAnsi" w:hAnsiTheme="minorHAnsi" w:cstheme="minorHAnsi"/>
          <w:i/>
          <w:iCs/>
          <w:noProof/>
          <w:lang w:val="en-US"/>
        </w:rPr>
        <w:t>Marine Strategy Framework Directive - Review and analysis of EU Member States' 2018 reports - D7 - permanent alteration of hydrographical conditons does not adversely affect marine ecosystems.</w:t>
      </w:r>
      <w:r w:rsidRPr="003F470D">
        <w:rPr>
          <w:rFonts w:asciiTheme="minorHAnsi" w:hAnsiTheme="minorHAnsi" w:cstheme="minorHAnsi"/>
          <w:noProof/>
          <w:lang w:val="en-US"/>
        </w:rPr>
        <w:t xml:space="preserve"> Publications Office of the European Union. Retrieved from https://publications.jrc.ec.europa.eu/repository/handle/JRC124879</w:t>
      </w:r>
    </w:p>
    <w:p w14:paraId="6BBE16DB" w14:textId="77777777" w:rsidR="0058760F" w:rsidRPr="003F470D" w:rsidRDefault="0058760F" w:rsidP="0058760F">
      <w:pPr>
        <w:pStyle w:val="Bibliography"/>
        <w:ind w:left="720" w:hanging="720"/>
        <w:rPr>
          <w:rFonts w:asciiTheme="minorHAnsi" w:hAnsiTheme="minorHAnsi" w:cstheme="minorHAnsi"/>
          <w:noProof/>
          <w:lang w:val="en-US"/>
        </w:rPr>
      </w:pPr>
      <w:r w:rsidRPr="003F470D">
        <w:rPr>
          <w:rFonts w:asciiTheme="minorHAnsi" w:hAnsiTheme="minorHAnsi" w:cstheme="minorHAnsi"/>
          <w:noProof/>
          <w:lang w:val="en-US"/>
        </w:rPr>
        <w:t xml:space="preserve">Gonzales, D., Coughlan, C., Stips, A., Hanke, G., &amp; Palialexis, A. (2014). </w:t>
      </w:r>
      <w:r w:rsidRPr="003F470D">
        <w:rPr>
          <w:rFonts w:asciiTheme="minorHAnsi" w:hAnsiTheme="minorHAnsi" w:cstheme="minorHAnsi"/>
          <w:i/>
          <w:iCs/>
          <w:noProof/>
          <w:lang w:val="en-US"/>
        </w:rPr>
        <w:t>In-depth assessment of the EU Member States' submissions for the Marine Strategy Framework Directive under articles 8, 9 and 10 on hydrographical conditions descriptor 7.</w:t>
      </w:r>
      <w:r w:rsidRPr="003F470D">
        <w:rPr>
          <w:rFonts w:asciiTheme="minorHAnsi" w:hAnsiTheme="minorHAnsi" w:cstheme="minorHAnsi"/>
          <w:noProof/>
          <w:lang w:val="en-US"/>
        </w:rPr>
        <w:t xml:space="preserve"> JRC Science and Policy Reports. Retrieved from https://mcc.jrc.ec.europa.eu/main/document.py?Num=0&amp;mot=201&amp;classement=D7&amp;code=201409161418</w:t>
      </w:r>
    </w:p>
    <w:p w14:paraId="767FC558" w14:textId="77777777" w:rsidR="0058760F" w:rsidRPr="003F470D" w:rsidRDefault="0058760F" w:rsidP="0058760F">
      <w:pPr>
        <w:pStyle w:val="Bibliography"/>
        <w:ind w:left="720" w:hanging="720"/>
        <w:rPr>
          <w:rFonts w:asciiTheme="minorHAnsi" w:hAnsiTheme="minorHAnsi" w:cstheme="minorHAnsi"/>
          <w:noProof/>
          <w:lang w:val="en-US"/>
        </w:rPr>
      </w:pPr>
      <w:r w:rsidRPr="003F470D">
        <w:rPr>
          <w:rFonts w:asciiTheme="minorHAnsi" w:hAnsiTheme="minorHAnsi" w:cstheme="minorHAnsi"/>
          <w:noProof/>
          <w:lang w:val="en-US"/>
        </w:rPr>
        <w:t xml:space="preserve">OSPAR. (2012). </w:t>
      </w:r>
      <w:r w:rsidRPr="003F470D">
        <w:rPr>
          <w:rFonts w:asciiTheme="minorHAnsi" w:hAnsiTheme="minorHAnsi" w:cstheme="minorHAnsi"/>
          <w:i/>
          <w:iCs/>
          <w:noProof/>
          <w:lang w:val="en-US"/>
        </w:rPr>
        <w:t>MSFD advice document on Good Environmental status - D7: Hydrographical conditions. A living document.</w:t>
      </w:r>
      <w:r w:rsidRPr="003F470D">
        <w:rPr>
          <w:rFonts w:asciiTheme="minorHAnsi" w:hAnsiTheme="minorHAnsi" w:cstheme="minorHAnsi"/>
          <w:noProof/>
          <w:lang w:val="en-US"/>
        </w:rPr>
        <w:t xml:space="preserve"> London: OSPAR. Retrieved from https://www.ospar.org/documents?d=7289</w:t>
      </w:r>
    </w:p>
    <w:p w14:paraId="1EC2AF7E" w14:textId="77777777" w:rsidR="0058760F" w:rsidRPr="003F470D" w:rsidRDefault="0058760F" w:rsidP="0058760F">
      <w:pPr>
        <w:pStyle w:val="Bibliography"/>
        <w:ind w:left="720" w:hanging="720"/>
        <w:rPr>
          <w:rFonts w:asciiTheme="minorHAnsi" w:hAnsiTheme="minorHAnsi" w:cstheme="minorHAnsi"/>
          <w:noProof/>
          <w:lang w:val="sv-SE"/>
        </w:rPr>
      </w:pPr>
      <w:r w:rsidRPr="003F470D">
        <w:rPr>
          <w:rFonts w:asciiTheme="minorHAnsi" w:hAnsiTheme="minorHAnsi" w:cstheme="minorHAnsi"/>
          <w:noProof/>
          <w:lang w:val="en-US"/>
        </w:rPr>
        <w:lastRenderedPageBreak/>
        <w:t xml:space="preserve">Spiteri, C. (2015). Guidance document on how to reflect changes in hydrographical conditions in relevant assessment. </w:t>
      </w:r>
      <w:r w:rsidRPr="003F470D">
        <w:rPr>
          <w:rFonts w:asciiTheme="minorHAnsi" w:hAnsiTheme="minorHAnsi" w:cstheme="minorHAnsi"/>
          <w:i/>
          <w:iCs/>
          <w:noProof/>
          <w:lang w:val="sv-SE"/>
        </w:rPr>
        <w:t>UNEP MAP, PAP/RAC</w:t>
      </w:r>
      <w:r w:rsidRPr="003F470D">
        <w:rPr>
          <w:rFonts w:asciiTheme="minorHAnsi" w:hAnsiTheme="minorHAnsi" w:cstheme="minorHAnsi"/>
          <w:noProof/>
          <w:lang w:val="sv-SE"/>
        </w:rPr>
        <w:t xml:space="preserve"> (p. 38). Barcelona: Deltares.</w:t>
      </w:r>
    </w:p>
    <w:p w14:paraId="2DD32541" w14:textId="77777777" w:rsidR="0058760F" w:rsidRPr="003F470D" w:rsidRDefault="0058760F" w:rsidP="0058760F">
      <w:pPr>
        <w:pStyle w:val="Bibliography"/>
        <w:ind w:left="720" w:hanging="720"/>
        <w:rPr>
          <w:rFonts w:asciiTheme="minorHAnsi" w:hAnsiTheme="minorHAnsi" w:cstheme="minorHAnsi"/>
          <w:noProof/>
          <w:lang w:val="en-US"/>
        </w:rPr>
      </w:pPr>
      <w:r w:rsidRPr="003F470D">
        <w:rPr>
          <w:rFonts w:asciiTheme="minorHAnsi" w:hAnsiTheme="minorHAnsi" w:cstheme="minorHAnsi"/>
          <w:noProof/>
          <w:lang w:val="sv-SE"/>
        </w:rPr>
        <w:t xml:space="preserve">Van Duren, L., Zijl, F., Van Kessel, T., Van Zelst, V., Van der Meer, J., Aarts, G., . . . </w:t>
      </w:r>
      <w:r w:rsidRPr="003F470D">
        <w:rPr>
          <w:rFonts w:asciiTheme="minorHAnsi" w:hAnsiTheme="minorHAnsi" w:cstheme="minorHAnsi"/>
          <w:noProof/>
          <w:lang w:val="en-US"/>
        </w:rPr>
        <w:t xml:space="preserve">Minns, A. (2021). </w:t>
      </w:r>
      <w:r w:rsidRPr="003F470D">
        <w:rPr>
          <w:rFonts w:asciiTheme="minorHAnsi" w:hAnsiTheme="minorHAnsi" w:cstheme="minorHAnsi"/>
          <w:i/>
          <w:iCs/>
          <w:noProof/>
          <w:lang w:val="en-US"/>
        </w:rPr>
        <w:t>Ecosystem effects of large upscaling of offshore wind on the North Sea - Synthesis report.</w:t>
      </w:r>
      <w:r w:rsidRPr="003F470D">
        <w:rPr>
          <w:rFonts w:asciiTheme="minorHAnsi" w:hAnsiTheme="minorHAnsi" w:cstheme="minorHAnsi"/>
          <w:noProof/>
          <w:lang w:val="en-US"/>
        </w:rPr>
        <w:t xml:space="preserve"> Delft: Deltares.</w:t>
      </w:r>
    </w:p>
    <w:p w14:paraId="2F68846B" w14:textId="741444BA" w:rsidR="00F324C2" w:rsidRPr="003F470D" w:rsidRDefault="0058760F" w:rsidP="0058760F">
      <w:pPr>
        <w:spacing w:after="200"/>
        <w:jc w:val="left"/>
        <w:rPr>
          <w:rFonts w:asciiTheme="minorHAnsi" w:hAnsiTheme="minorHAnsi" w:cstheme="minorHAnsi"/>
          <w:sz w:val="26"/>
          <w:szCs w:val="26"/>
        </w:rPr>
      </w:pPr>
      <w:r w:rsidRPr="003F470D">
        <w:rPr>
          <w:rFonts w:asciiTheme="minorHAnsi" w:hAnsiTheme="minorHAnsi" w:cstheme="minorHAnsi"/>
          <w:lang w:val="en-US"/>
        </w:rPr>
        <w:fldChar w:fldCharType="end"/>
      </w:r>
    </w:p>
    <w:p w14:paraId="19BC1810" w14:textId="77777777" w:rsidR="00F324C2" w:rsidRPr="003F470D" w:rsidRDefault="00F324C2" w:rsidP="00F324C2">
      <w:pPr>
        <w:spacing w:line="276" w:lineRule="auto"/>
        <w:rPr>
          <w:rFonts w:asciiTheme="minorHAnsi" w:hAnsiTheme="minorHAnsi" w:cstheme="minorHAnsi"/>
        </w:rPr>
      </w:pPr>
    </w:p>
    <w:sectPr w:rsidR="00F324C2" w:rsidRPr="003F470D" w:rsidSect="00190F33">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130E" w14:textId="77777777" w:rsidR="000A632A" w:rsidRDefault="000A632A">
      <w:r>
        <w:separator/>
      </w:r>
    </w:p>
  </w:endnote>
  <w:endnote w:type="continuationSeparator" w:id="0">
    <w:p w14:paraId="675A002E" w14:textId="77777777" w:rsidR="000A632A" w:rsidRDefault="000A632A">
      <w:r>
        <w:continuationSeparator/>
      </w:r>
    </w:p>
  </w:endnote>
  <w:endnote w:type="continuationNotice" w:id="1">
    <w:p w14:paraId="7934417C" w14:textId="77777777" w:rsidR="000A632A" w:rsidRDefault="000A63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PhagsPa">
    <w:panose1 w:val="020B0502040204020203"/>
    <w:charset w:val="00"/>
    <w:family w:val="swiss"/>
    <w:pitch w:val="variable"/>
    <w:sig w:usb0="00000003" w:usb1="00000000" w:usb2="08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EF41" w14:textId="77777777" w:rsidR="00190F33" w:rsidRDefault="00190F33" w:rsidP="00190F33">
    <w:pPr>
      <w:pStyle w:val="Footer"/>
      <w:jc w:val="right"/>
    </w:pPr>
    <w:r>
      <w:fldChar w:fldCharType="begin"/>
    </w:r>
    <w:r>
      <w:instrText xml:space="preserve"> PAGE </w:instrText>
    </w:r>
    <w:r>
      <w:fldChar w:fldCharType="separate"/>
    </w:r>
    <w:r>
      <w:t>1</w:t>
    </w:r>
    <w:r>
      <w:fldChar w:fldCharType="end"/>
    </w:r>
  </w:p>
  <w:p w14:paraId="74585698" w14:textId="77777777" w:rsidR="00190F33" w:rsidRDefault="00190F33" w:rsidP="00190F33">
    <w:pPr>
      <w:pStyle w:val="Footer"/>
      <w:tabs>
        <w:tab w:val="center" w:pos="4820"/>
        <w:tab w:val="right" w:pos="9639"/>
      </w:tabs>
    </w:pPr>
  </w:p>
  <w:p w14:paraId="7BFEF815" w14:textId="77777777" w:rsidR="00190F33" w:rsidRDefault="00190F33" w:rsidP="00190F33">
    <w:pPr>
      <w:pStyle w:val="Footer"/>
      <w:pBdr>
        <w:top w:val="single" w:sz="4" w:space="1" w:color="000000"/>
        <w:left w:val="none" w:sz="0" w:space="0" w:color="000000"/>
        <w:bottom w:val="none" w:sz="0" w:space="0" w:color="000000"/>
        <w:right w:val="none" w:sz="0" w:space="0" w:color="000000"/>
      </w:pBdr>
      <w:tabs>
        <w:tab w:val="center" w:pos="4820"/>
        <w:tab w:val="right" w:pos="9639"/>
      </w:tabs>
    </w:pPr>
    <w:r>
      <w:t>OSPAR Commission</w:t>
    </w:r>
    <w:r>
      <w:tab/>
    </w:r>
    <w:r>
      <w:tab/>
    </w:r>
    <w:r>
      <w:tab/>
      <w:t xml:space="preserve">                EIHA Summary Record 2024</w:t>
    </w:r>
    <w:r>
      <w:tab/>
    </w:r>
    <w:r>
      <w:tab/>
    </w:r>
    <w:r>
      <w:tab/>
    </w:r>
    <w:r>
      <w:tab/>
      <w:t xml:space="preserve">     </w:t>
    </w:r>
    <w:r w:rsidRPr="00CE155F">
      <w:t>EIHA 24/11/01-Annex.0</w:t>
    </w:r>
    <w:r>
      <w:t>3</w:t>
    </w:r>
  </w:p>
  <w:p w14:paraId="7F8028FF" w14:textId="77777777" w:rsidR="00190F33" w:rsidRDefault="00190F33" w:rsidP="00190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0D92" w14:textId="77777777" w:rsidR="000A632A" w:rsidRDefault="000A632A">
      <w:r>
        <w:separator/>
      </w:r>
    </w:p>
  </w:footnote>
  <w:footnote w:type="continuationSeparator" w:id="0">
    <w:p w14:paraId="0C95C561" w14:textId="77777777" w:rsidR="000A632A" w:rsidRDefault="000A632A">
      <w:r>
        <w:continuationSeparator/>
      </w:r>
    </w:p>
  </w:footnote>
  <w:footnote w:type="continuationNotice" w:id="1">
    <w:p w14:paraId="713F51A5" w14:textId="77777777" w:rsidR="000A632A" w:rsidRDefault="000A63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B030" w14:textId="7448F827" w:rsidR="00466BFF" w:rsidRPr="002707A7" w:rsidRDefault="00466BFF" w:rsidP="00AB55CD">
    <w:pPr>
      <w:pStyle w:val="Header"/>
      <w:jc w:val="right"/>
      <w:rPr>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7FF"/>
    <w:multiLevelType w:val="hybridMultilevel"/>
    <w:tmpl w:val="8C8089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02AD"/>
    <w:multiLevelType w:val="hybridMultilevel"/>
    <w:tmpl w:val="C3288A0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E6E39AF"/>
    <w:multiLevelType w:val="hybridMultilevel"/>
    <w:tmpl w:val="24E837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FF053C"/>
    <w:multiLevelType w:val="hybridMultilevel"/>
    <w:tmpl w:val="DF821A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2511D"/>
    <w:multiLevelType w:val="multilevel"/>
    <w:tmpl w:val="ABD6ADA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C15DED"/>
    <w:multiLevelType w:val="hybridMultilevel"/>
    <w:tmpl w:val="23A6D84C"/>
    <w:lvl w:ilvl="0" w:tplc="95F2F90A">
      <w:start w:val="1"/>
      <w:numFmt w:val="bullet"/>
      <w:lvlText w:val="•"/>
      <w:lvlJc w:val="left"/>
      <w:pPr>
        <w:tabs>
          <w:tab w:val="num" w:pos="720"/>
        </w:tabs>
        <w:ind w:left="720" w:hanging="360"/>
      </w:pPr>
      <w:rPr>
        <w:rFonts w:ascii="Arial" w:hAnsi="Arial" w:hint="default"/>
      </w:rPr>
    </w:lvl>
    <w:lvl w:ilvl="1" w:tplc="7B62CA04">
      <w:start w:val="1"/>
      <w:numFmt w:val="bullet"/>
      <w:lvlText w:val="•"/>
      <w:lvlJc w:val="left"/>
      <w:pPr>
        <w:tabs>
          <w:tab w:val="num" w:pos="1440"/>
        </w:tabs>
        <w:ind w:left="1440" w:hanging="360"/>
      </w:pPr>
      <w:rPr>
        <w:rFonts w:ascii="Arial" w:hAnsi="Arial" w:hint="default"/>
      </w:rPr>
    </w:lvl>
    <w:lvl w:ilvl="2" w:tplc="71E8520A" w:tentative="1">
      <w:start w:val="1"/>
      <w:numFmt w:val="bullet"/>
      <w:lvlText w:val="•"/>
      <w:lvlJc w:val="left"/>
      <w:pPr>
        <w:tabs>
          <w:tab w:val="num" w:pos="2160"/>
        </w:tabs>
        <w:ind w:left="2160" w:hanging="360"/>
      </w:pPr>
      <w:rPr>
        <w:rFonts w:ascii="Arial" w:hAnsi="Arial" w:hint="default"/>
      </w:rPr>
    </w:lvl>
    <w:lvl w:ilvl="3" w:tplc="A8C62994" w:tentative="1">
      <w:start w:val="1"/>
      <w:numFmt w:val="bullet"/>
      <w:lvlText w:val="•"/>
      <w:lvlJc w:val="left"/>
      <w:pPr>
        <w:tabs>
          <w:tab w:val="num" w:pos="2880"/>
        </w:tabs>
        <w:ind w:left="2880" w:hanging="360"/>
      </w:pPr>
      <w:rPr>
        <w:rFonts w:ascii="Arial" w:hAnsi="Arial" w:hint="default"/>
      </w:rPr>
    </w:lvl>
    <w:lvl w:ilvl="4" w:tplc="8E48FA66" w:tentative="1">
      <w:start w:val="1"/>
      <w:numFmt w:val="bullet"/>
      <w:lvlText w:val="•"/>
      <w:lvlJc w:val="left"/>
      <w:pPr>
        <w:tabs>
          <w:tab w:val="num" w:pos="3600"/>
        </w:tabs>
        <w:ind w:left="3600" w:hanging="360"/>
      </w:pPr>
      <w:rPr>
        <w:rFonts w:ascii="Arial" w:hAnsi="Arial" w:hint="default"/>
      </w:rPr>
    </w:lvl>
    <w:lvl w:ilvl="5" w:tplc="9F260EAA" w:tentative="1">
      <w:start w:val="1"/>
      <w:numFmt w:val="bullet"/>
      <w:lvlText w:val="•"/>
      <w:lvlJc w:val="left"/>
      <w:pPr>
        <w:tabs>
          <w:tab w:val="num" w:pos="4320"/>
        </w:tabs>
        <w:ind w:left="4320" w:hanging="360"/>
      </w:pPr>
      <w:rPr>
        <w:rFonts w:ascii="Arial" w:hAnsi="Arial" w:hint="default"/>
      </w:rPr>
    </w:lvl>
    <w:lvl w:ilvl="6" w:tplc="F66059BA" w:tentative="1">
      <w:start w:val="1"/>
      <w:numFmt w:val="bullet"/>
      <w:lvlText w:val="•"/>
      <w:lvlJc w:val="left"/>
      <w:pPr>
        <w:tabs>
          <w:tab w:val="num" w:pos="5040"/>
        </w:tabs>
        <w:ind w:left="5040" w:hanging="360"/>
      </w:pPr>
      <w:rPr>
        <w:rFonts w:ascii="Arial" w:hAnsi="Arial" w:hint="default"/>
      </w:rPr>
    </w:lvl>
    <w:lvl w:ilvl="7" w:tplc="9796C6D0" w:tentative="1">
      <w:start w:val="1"/>
      <w:numFmt w:val="bullet"/>
      <w:lvlText w:val="•"/>
      <w:lvlJc w:val="left"/>
      <w:pPr>
        <w:tabs>
          <w:tab w:val="num" w:pos="5760"/>
        </w:tabs>
        <w:ind w:left="5760" w:hanging="360"/>
      </w:pPr>
      <w:rPr>
        <w:rFonts w:ascii="Arial" w:hAnsi="Arial" w:hint="default"/>
      </w:rPr>
    </w:lvl>
    <w:lvl w:ilvl="8" w:tplc="8BC6B4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945C2"/>
    <w:multiLevelType w:val="hybridMultilevel"/>
    <w:tmpl w:val="C6B6E30A"/>
    <w:lvl w:ilvl="0" w:tplc="08090019">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23DC5"/>
    <w:multiLevelType w:val="hybridMultilevel"/>
    <w:tmpl w:val="437C6564"/>
    <w:lvl w:ilvl="0" w:tplc="1C626366">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D642E"/>
    <w:multiLevelType w:val="hybridMultilevel"/>
    <w:tmpl w:val="A52887FA"/>
    <w:lvl w:ilvl="0" w:tplc="08090001">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AE4348"/>
    <w:multiLevelType w:val="hybridMultilevel"/>
    <w:tmpl w:val="093E01E2"/>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0" w15:restartNumberingAfterBreak="0">
    <w:nsid w:val="377E12EB"/>
    <w:multiLevelType w:val="hybridMultilevel"/>
    <w:tmpl w:val="0E3A10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372575"/>
    <w:multiLevelType w:val="hybridMultilevel"/>
    <w:tmpl w:val="7D3868F0"/>
    <w:lvl w:ilvl="0" w:tplc="1E88D050">
      <w:start w:val="1"/>
      <w:numFmt w:val="decimal"/>
      <w:lvlText w:val="%1."/>
      <w:lvlJc w:val="left"/>
      <w:pPr>
        <w:ind w:left="720" w:hanging="360"/>
      </w:pPr>
      <w:rPr>
        <w:rFonts w:hint="default"/>
        <w:b w:val="0"/>
        <w:bCs w:val="0"/>
      </w:rPr>
    </w:lvl>
    <w:lvl w:ilvl="1" w:tplc="1752FCCE">
      <w:start w:val="1"/>
      <w:numFmt w:val="lowerLetter"/>
      <w:lvlText w:val="%2."/>
      <w:lvlJc w:val="left"/>
      <w:pPr>
        <w:ind w:left="1440" w:hanging="360"/>
      </w:pPr>
      <w:rPr>
        <w:strike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8D25E5"/>
    <w:multiLevelType w:val="hybridMultilevel"/>
    <w:tmpl w:val="11EA9B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5F82"/>
    <w:multiLevelType w:val="hybridMultilevel"/>
    <w:tmpl w:val="27CAB890"/>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4" w15:restartNumberingAfterBreak="0">
    <w:nsid w:val="41453D23"/>
    <w:multiLevelType w:val="hybridMultilevel"/>
    <w:tmpl w:val="B0C03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4104E33"/>
    <w:multiLevelType w:val="multilevel"/>
    <w:tmpl w:val="5F4C85F0"/>
    <w:lvl w:ilvl="0">
      <w:start w:val="3"/>
      <w:numFmt w:val="decimal"/>
      <w:lvlText w:val="%1"/>
      <w:lvlJc w:val="left"/>
      <w:pPr>
        <w:ind w:left="390" w:hanging="390"/>
      </w:pPr>
      <w:rPr>
        <w:rFonts w:hint="default"/>
        <w:b w:val="0"/>
      </w:rPr>
    </w:lvl>
    <w:lvl w:ilvl="1">
      <w:start w:val="12"/>
      <w:numFmt w:val="decimal"/>
      <w:lvlText w:val="%1.%2"/>
      <w:lvlJc w:val="left"/>
      <w:pPr>
        <w:ind w:left="390" w:hanging="390"/>
      </w:pPr>
      <w:rPr>
        <w:rFonts w:hint="default"/>
        <w:b w:val="0"/>
      </w:rPr>
    </w:lvl>
    <w:lvl w:ilvl="2">
      <w:start w:val="1"/>
      <w:numFmt w:val="lowerLetter"/>
      <w:lvlText w:val="%3."/>
      <w:lvlJc w:val="left"/>
      <w:pPr>
        <w:ind w:left="720" w:hanging="720"/>
      </w:pPr>
      <w:rPr>
        <w:rFonts w:asciiTheme="minorHAnsi" w:eastAsiaTheme="minorHAnsi" w:hAnsiTheme="minorHAnsi" w:cstheme="minorBidi"/>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A364E0F"/>
    <w:multiLevelType w:val="multilevel"/>
    <w:tmpl w:val="7D6CF6D8"/>
    <w:lvl w:ilvl="0">
      <w:start w:val="1"/>
      <w:numFmt w:val="decimal"/>
      <w:pStyle w:val="BodyText"/>
      <w:lvlText w:val="%1."/>
      <w:lvlJc w:val="left"/>
      <w:pPr>
        <w:tabs>
          <w:tab w:val="num" w:pos="1418"/>
        </w:tabs>
        <w:ind w:left="1418" w:hanging="1134"/>
      </w:pPr>
      <w:rPr>
        <w:rFonts w:hint="default"/>
      </w:rPr>
    </w:lvl>
    <w:lvl w:ilvl="1">
      <w:start w:val="1"/>
      <w:numFmt w:val="lowerLetter"/>
      <w:lvlText w:val="%2."/>
      <w:lvlJc w:val="left"/>
      <w:pPr>
        <w:tabs>
          <w:tab w:val="num" w:pos="1494"/>
        </w:tabs>
        <w:ind w:left="1418" w:hanging="284"/>
      </w:pPr>
      <w:rPr>
        <w:rFonts w:hint="default"/>
      </w:rPr>
    </w:lvl>
    <w:lvl w:ilvl="2">
      <w:start w:val="1"/>
      <w:numFmt w:val="lowerRoman"/>
      <w:lvlText w:val="%3."/>
      <w:lvlJc w:val="left"/>
      <w:pPr>
        <w:tabs>
          <w:tab w:val="num" w:pos="2138"/>
        </w:tabs>
        <w:ind w:left="1701" w:hanging="283"/>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7" w15:restartNumberingAfterBreak="0">
    <w:nsid w:val="4E764AA2"/>
    <w:multiLevelType w:val="hybridMultilevel"/>
    <w:tmpl w:val="93E41D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4F2C1019"/>
    <w:multiLevelType w:val="hybridMultilevel"/>
    <w:tmpl w:val="7BE0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27479"/>
    <w:multiLevelType w:val="hybridMultilevel"/>
    <w:tmpl w:val="6E92666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49D5EA7"/>
    <w:multiLevelType w:val="multilevel"/>
    <w:tmpl w:val="F734137A"/>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1" w15:restartNumberingAfterBreak="0">
    <w:nsid w:val="5BB911E1"/>
    <w:multiLevelType w:val="hybridMultilevel"/>
    <w:tmpl w:val="6B762F96"/>
    <w:lvl w:ilvl="0" w:tplc="16A2BEEA">
      <w:start w:val="1"/>
      <w:numFmt w:val="decimal"/>
      <w:lvlText w:val="%1."/>
      <w:lvlJc w:val="left"/>
      <w:pPr>
        <w:ind w:left="720" w:hanging="360"/>
      </w:pPr>
      <w:rPr>
        <w:rFonts w:asciiTheme="minorHAnsi" w:hAnsiTheme="minorHAnsi" w:cstheme="minorHAnsi" w:hint="default"/>
        <w:b w:val="0"/>
        <w:b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66284F"/>
    <w:multiLevelType w:val="hybridMultilevel"/>
    <w:tmpl w:val="E32817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F73F59"/>
    <w:multiLevelType w:val="hybridMultilevel"/>
    <w:tmpl w:val="D1008D44"/>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D6644F"/>
    <w:multiLevelType w:val="hybridMultilevel"/>
    <w:tmpl w:val="27CAB890"/>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5" w15:restartNumberingAfterBreak="0">
    <w:nsid w:val="7FE5508B"/>
    <w:multiLevelType w:val="hybridMultilevel"/>
    <w:tmpl w:val="16D685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725096">
    <w:abstractNumId w:val="16"/>
  </w:num>
  <w:num w:numId="2" w16cid:durableId="437061624">
    <w:abstractNumId w:val="4"/>
  </w:num>
  <w:num w:numId="3" w16cid:durableId="1236932574">
    <w:abstractNumId w:val="20"/>
  </w:num>
  <w:num w:numId="4" w16cid:durableId="1075783826">
    <w:abstractNumId w:val="0"/>
  </w:num>
  <w:num w:numId="5" w16cid:durableId="415398834">
    <w:abstractNumId w:val="21"/>
  </w:num>
  <w:num w:numId="6" w16cid:durableId="1828672004">
    <w:abstractNumId w:val="16"/>
  </w:num>
  <w:num w:numId="7" w16cid:durableId="1844542127">
    <w:abstractNumId w:val="1"/>
  </w:num>
  <w:num w:numId="8" w16cid:durableId="319118110">
    <w:abstractNumId w:val="16"/>
  </w:num>
  <w:num w:numId="9" w16cid:durableId="1392003113">
    <w:abstractNumId w:val="16"/>
  </w:num>
  <w:num w:numId="10" w16cid:durableId="1825510445">
    <w:abstractNumId w:val="16"/>
  </w:num>
  <w:num w:numId="11" w16cid:durableId="1389692238">
    <w:abstractNumId w:val="14"/>
  </w:num>
  <w:num w:numId="12" w16cid:durableId="776023272">
    <w:abstractNumId w:val="16"/>
  </w:num>
  <w:num w:numId="13" w16cid:durableId="924340513">
    <w:abstractNumId w:val="16"/>
  </w:num>
  <w:num w:numId="14" w16cid:durableId="2008357510">
    <w:abstractNumId w:val="16"/>
  </w:num>
  <w:num w:numId="15" w16cid:durableId="5787741">
    <w:abstractNumId w:val="18"/>
  </w:num>
  <w:num w:numId="16" w16cid:durableId="273680208">
    <w:abstractNumId w:val="16"/>
  </w:num>
  <w:num w:numId="17" w16cid:durableId="13527286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7688912">
    <w:abstractNumId w:val="22"/>
  </w:num>
  <w:num w:numId="19" w16cid:durableId="319162988">
    <w:abstractNumId w:val="16"/>
  </w:num>
  <w:num w:numId="20" w16cid:durableId="68429912">
    <w:abstractNumId w:val="16"/>
  </w:num>
  <w:num w:numId="21" w16cid:durableId="1617254064">
    <w:abstractNumId w:val="16"/>
  </w:num>
  <w:num w:numId="22" w16cid:durableId="1969969793">
    <w:abstractNumId w:val="16"/>
  </w:num>
  <w:num w:numId="23" w16cid:durableId="972558206">
    <w:abstractNumId w:val="16"/>
  </w:num>
  <w:num w:numId="24" w16cid:durableId="1109160047">
    <w:abstractNumId w:val="16"/>
  </w:num>
  <w:num w:numId="25" w16cid:durableId="239877295">
    <w:abstractNumId w:val="16"/>
  </w:num>
  <w:num w:numId="26" w16cid:durableId="772095134">
    <w:abstractNumId w:val="16"/>
  </w:num>
  <w:num w:numId="27" w16cid:durableId="511647419">
    <w:abstractNumId w:val="3"/>
  </w:num>
  <w:num w:numId="28" w16cid:durableId="24526711">
    <w:abstractNumId w:val="25"/>
  </w:num>
  <w:num w:numId="29" w16cid:durableId="1042941198">
    <w:abstractNumId w:val="16"/>
  </w:num>
  <w:num w:numId="30" w16cid:durableId="1502352127">
    <w:abstractNumId w:val="23"/>
  </w:num>
  <w:num w:numId="31" w16cid:durableId="1704482797">
    <w:abstractNumId w:val="16"/>
  </w:num>
  <w:num w:numId="32" w16cid:durableId="885337247">
    <w:abstractNumId w:val="16"/>
  </w:num>
  <w:num w:numId="33" w16cid:durableId="84108671">
    <w:abstractNumId w:val="11"/>
  </w:num>
  <w:num w:numId="34" w16cid:durableId="363598311">
    <w:abstractNumId w:val="7"/>
  </w:num>
  <w:num w:numId="35" w16cid:durableId="1870992879">
    <w:abstractNumId w:val="24"/>
  </w:num>
  <w:num w:numId="36" w16cid:durableId="1046485931">
    <w:abstractNumId w:val="8"/>
  </w:num>
  <w:num w:numId="37" w16cid:durableId="841704000">
    <w:abstractNumId w:val="19"/>
  </w:num>
  <w:num w:numId="38" w16cid:durableId="969482561">
    <w:abstractNumId w:val="13"/>
  </w:num>
  <w:num w:numId="39" w16cid:durableId="110127650">
    <w:abstractNumId w:val="5"/>
  </w:num>
  <w:num w:numId="40" w16cid:durableId="2132045627">
    <w:abstractNumId w:val="6"/>
  </w:num>
  <w:num w:numId="41" w16cid:durableId="1781486554">
    <w:abstractNumId w:val="12"/>
  </w:num>
  <w:num w:numId="42" w16cid:durableId="431390432">
    <w:abstractNumId w:val="15"/>
  </w:num>
  <w:num w:numId="43" w16cid:durableId="1388871668">
    <w:abstractNumId w:val="17"/>
  </w:num>
  <w:num w:numId="44" w16cid:durableId="370737382">
    <w:abstractNumId w:val="10"/>
  </w:num>
  <w:num w:numId="45" w16cid:durableId="1494296285">
    <w:abstractNumId w:val="2"/>
  </w:num>
  <w:num w:numId="46" w16cid:durableId="168324067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fillcolor="white" strokecolor="none [671]">
      <v:fill color="white"/>
      <v:stroke color="none [671]"/>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08"/>
    <w:rsid w:val="00002875"/>
    <w:rsid w:val="00004C2B"/>
    <w:rsid w:val="00006101"/>
    <w:rsid w:val="000072FC"/>
    <w:rsid w:val="00010595"/>
    <w:rsid w:val="00012957"/>
    <w:rsid w:val="00013994"/>
    <w:rsid w:val="000149FE"/>
    <w:rsid w:val="000176BC"/>
    <w:rsid w:val="000214D1"/>
    <w:rsid w:val="00022A06"/>
    <w:rsid w:val="00022E21"/>
    <w:rsid w:val="0002380F"/>
    <w:rsid w:val="00023D36"/>
    <w:rsid w:val="00024AD9"/>
    <w:rsid w:val="00026896"/>
    <w:rsid w:val="00027AAE"/>
    <w:rsid w:val="00031D7B"/>
    <w:rsid w:val="000323C2"/>
    <w:rsid w:val="0003279C"/>
    <w:rsid w:val="00032AEE"/>
    <w:rsid w:val="00035296"/>
    <w:rsid w:val="00035401"/>
    <w:rsid w:val="000402D9"/>
    <w:rsid w:val="00040591"/>
    <w:rsid w:val="00040BC5"/>
    <w:rsid w:val="0004153B"/>
    <w:rsid w:val="00042062"/>
    <w:rsid w:val="00042B4A"/>
    <w:rsid w:val="00047027"/>
    <w:rsid w:val="0005298C"/>
    <w:rsid w:val="00053156"/>
    <w:rsid w:val="000542FD"/>
    <w:rsid w:val="00054327"/>
    <w:rsid w:val="00056481"/>
    <w:rsid w:val="000604C3"/>
    <w:rsid w:val="00062203"/>
    <w:rsid w:val="0006270C"/>
    <w:rsid w:val="0006368E"/>
    <w:rsid w:val="0006525C"/>
    <w:rsid w:val="00065DA8"/>
    <w:rsid w:val="00066145"/>
    <w:rsid w:val="000662D8"/>
    <w:rsid w:val="00067105"/>
    <w:rsid w:val="00070F9E"/>
    <w:rsid w:val="00071F23"/>
    <w:rsid w:val="00072010"/>
    <w:rsid w:val="000728EE"/>
    <w:rsid w:val="0007437C"/>
    <w:rsid w:val="0007509B"/>
    <w:rsid w:val="00075228"/>
    <w:rsid w:val="0008533F"/>
    <w:rsid w:val="00085781"/>
    <w:rsid w:val="000860DB"/>
    <w:rsid w:val="000877BC"/>
    <w:rsid w:val="00087DC4"/>
    <w:rsid w:val="000926F5"/>
    <w:rsid w:val="000933D3"/>
    <w:rsid w:val="00093526"/>
    <w:rsid w:val="000A15F9"/>
    <w:rsid w:val="000A4421"/>
    <w:rsid w:val="000A4F2A"/>
    <w:rsid w:val="000A57C3"/>
    <w:rsid w:val="000A632A"/>
    <w:rsid w:val="000B2532"/>
    <w:rsid w:val="000B30B1"/>
    <w:rsid w:val="000B39B8"/>
    <w:rsid w:val="000B5C12"/>
    <w:rsid w:val="000B6733"/>
    <w:rsid w:val="000B6C3C"/>
    <w:rsid w:val="000B6EA4"/>
    <w:rsid w:val="000B793D"/>
    <w:rsid w:val="000C51D6"/>
    <w:rsid w:val="000C5518"/>
    <w:rsid w:val="000C5A08"/>
    <w:rsid w:val="000C622D"/>
    <w:rsid w:val="000C63D6"/>
    <w:rsid w:val="000D067D"/>
    <w:rsid w:val="000D1536"/>
    <w:rsid w:val="000D2DFF"/>
    <w:rsid w:val="000D333C"/>
    <w:rsid w:val="000D3DAB"/>
    <w:rsid w:val="000D4E33"/>
    <w:rsid w:val="000D4EE4"/>
    <w:rsid w:val="000D590B"/>
    <w:rsid w:val="000D6A4B"/>
    <w:rsid w:val="000D6D67"/>
    <w:rsid w:val="000D7CD3"/>
    <w:rsid w:val="000E0686"/>
    <w:rsid w:val="000E06B4"/>
    <w:rsid w:val="000E29E1"/>
    <w:rsid w:val="000E4F92"/>
    <w:rsid w:val="000E58D8"/>
    <w:rsid w:val="000E6AAD"/>
    <w:rsid w:val="000F0154"/>
    <w:rsid w:val="000F018D"/>
    <w:rsid w:val="000F21B6"/>
    <w:rsid w:val="000F3709"/>
    <w:rsid w:val="000F3865"/>
    <w:rsid w:val="000F478B"/>
    <w:rsid w:val="000F4870"/>
    <w:rsid w:val="000F4EB2"/>
    <w:rsid w:val="000F618F"/>
    <w:rsid w:val="000F6393"/>
    <w:rsid w:val="000F689B"/>
    <w:rsid w:val="000F6D4B"/>
    <w:rsid w:val="000F6D80"/>
    <w:rsid w:val="00101199"/>
    <w:rsid w:val="0010185B"/>
    <w:rsid w:val="00102133"/>
    <w:rsid w:val="00103872"/>
    <w:rsid w:val="00104363"/>
    <w:rsid w:val="00106208"/>
    <w:rsid w:val="00110EB2"/>
    <w:rsid w:val="00111D7D"/>
    <w:rsid w:val="00111E4A"/>
    <w:rsid w:val="00112423"/>
    <w:rsid w:val="00112585"/>
    <w:rsid w:val="001172BF"/>
    <w:rsid w:val="001207B5"/>
    <w:rsid w:val="001211F1"/>
    <w:rsid w:val="00125064"/>
    <w:rsid w:val="0012541E"/>
    <w:rsid w:val="00127C8C"/>
    <w:rsid w:val="001313D8"/>
    <w:rsid w:val="00132147"/>
    <w:rsid w:val="00133F8D"/>
    <w:rsid w:val="001342EE"/>
    <w:rsid w:val="00134926"/>
    <w:rsid w:val="0013664B"/>
    <w:rsid w:val="00137313"/>
    <w:rsid w:val="00137F54"/>
    <w:rsid w:val="00144D76"/>
    <w:rsid w:val="0014624C"/>
    <w:rsid w:val="00146372"/>
    <w:rsid w:val="0014679A"/>
    <w:rsid w:val="00146812"/>
    <w:rsid w:val="00147113"/>
    <w:rsid w:val="00147CE1"/>
    <w:rsid w:val="001521AB"/>
    <w:rsid w:val="00153EF8"/>
    <w:rsid w:val="00154BB8"/>
    <w:rsid w:val="00154D98"/>
    <w:rsid w:val="00156786"/>
    <w:rsid w:val="00156812"/>
    <w:rsid w:val="001626C8"/>
    <w:rsid w:val="00163ED8"/>
    <w:rsid w:val="0016519B"/>
    <w:rsid w:val="0016532C"/>
    <w:rsid w:val="00167732"/>
    <w:rsid w:val="00167AF0"/>
    <w:rsid w:val="0017119B"/>
    <w:rsid w:val="00171651"/>
    <w:rsid w:val="00172753"/>
    <w:rsid w:val="0017437E"/>
    <w:rsid w:val="00175D3F"/>
    <w:rsid w:val="0018090F"/>
    <w:rsid w:val="001824BF"/>
    <w:rsid w:val="001840BE"/>
    <w:rsid w:val="00184B13"/>
    <w:rsid w:val="00184E8B"/>
    <w:rsid w:val="0018531B"/>
    <w:rsid w:val="00185504"/>
    <w:rsid w:val="00185A66"/>
    <w:rsid w:val="001863B7"/>
    <w:rsid w:val="00186471"/>
    <w:rsid w:val="00186B91"/>
    <w:rsid w:val="0019075A"/>
    <w:rsid w:val="00190F33"/>
    <w:rsid w:val="00194007"/>
    <w:rsid w:val="00195028"/>
    <w:rsid w:val="00195132"/>
    <w:rsid w:val="00195371"/>
    <w:rsid w:val="001A0D43"/>
    <w:rsid w:val="001A3CAD"/>
    <w:rsid w:val="001A40F6"/>
    <w:rsid w:val="001B0150"/>
    <w:rsid w:val="001B0257"/>
    <w:rsid w:val="001B0767"/>
    <w:rsid w:val="001B3BC6"/>
    <w:rsid w:val="001B4C27"/>
    <w:rsid w:val="001B6C25"/>
    <w:rsid w:val="001B7F11"/>
    <w:rsid w:val="001C0103"/>
    <w:rsid w:val="001C0E35"/>
    <w:rsid w:val="001C16DF"/>
    <w:rsid w:val="001C1BAD"/>
    <w:rsid w:val="001C418A"/>
    <w:rsid w:val="001C5387"/>
    <w:rsid w:val="001C5814"/>
    <w:rsid w:val="001C63FE"/>
    <w:rsid w:val="001C687A"/>
    <w:rsid w:val="001C70F1"/>
    <w:rsid w:val="001C7C37"/>
    <w:rsid w:val="001D074D"/>
    <w:rsid w:val="001D0BE0"/>
    <w:rsid w:val="001D17BA"/>
    <w:rsid w:val="001D321F"/>
    <w:rsid w:val="001D5486"/>
    <w:rsid w:val="001D570E"/>
    <w:rsid w:val="001D61D4"/>
    <w:rsid w:val="001D61E4"/>
    <w:rsid w:val="001E0A8B"/>
    <w:rsid w:val="001E2F28"/>
    <w:rsid w:val="001E30C0"/>
    <w:rsid w:val="001E33DA"/>
    <w:rsid w:val="001E4518"/>
    <w:rsid w:val="001E485C"/>
    <w:rsid w:val="001E50BD"/>
    <w:rsid w:val="001E5F32"/>
    <w:rsid w:val="001F0F7E"/>
    <w:rsid w:val="001F2429"/>
    <w:rsid w:val="001F2D61"/>
    <w:rsid w:val="001F2E85"/>
    <w:rsid w:val="001F30EE"/>
    <w:rsid w:val="001F34FB"/>
    <w:rsid w:val="001F450B"/>
    <w:rsid w:val="001F7451"/>
    <w:rsid w:val="001F7ABB"/>
    <w:rsid w:val="001F7B1F"/>
    <w:rsid w:val="0020312E"/>
    <w:rsid w:val="00203714"/>
    <w:rsid w:val="00205DA9"/>
    <w:rsid w:val="00207E6B"/>
    <w:rsid w:val="00210CA0"/>
    <w:rsid w:val="00211E46"/>
    <w:rsid w:val="0021280C"/>
    <w:rsid w:val="00213A59"/>
    <w:rsid w:val="00213DE4"/>
    <w:rsid w:val="00214D70"/>
    <w:rsid w:val="002161A7"/>
    <w:rsid w:val="00216EF9"/>
    <w:rsid w:val="00217183"/>
    <w:rsid w:val="00221730"/>
    <w:rsid w:val="0022184A"/>
    <w:rsid w:val="00224E5E"/>
    <w:rsid w:val="002256AD"/>
    <w:rsid w:val="00226485"/>
    <w:rsid w:val="00233126"/>
    <w:rsid w:val="00234587"/>
    <w:rsid w:val="00241F08"/>
    <w:rsid w:val="00242AAF"/>
    <w:rsid w:val="002430D6"/>
    <w:rsid w:val="002430E4"/>
    <w:rsid w:val="00245A4F"/>
    <w:rsid w:val="002462F0"/>
    <w:rsid w:val="002472F6"/>
    <w:rsid w:val="00250DB6"/>
    <w:rsid w:val="00251D1D"/>
    <w:rsid w:val="00251E40"/>
    <w:rsid w:val="00252494"/>
    <w:rsid w:val="00254F72"/>
    <w:rsid w:val="00261B25"/>
    <w:rsid w:val="00261E92"/>
    <w:rsid w:val="00262982"/>
    <w:rsid w:val="00262D52"/>
    <w:rsid w:val="00264907"/>
    <w:rsid w:val="00266660"/>
    <w:rsid w:val="002666A2"/>
    <w:rsid w:val="00266A0D"/>
    <w:rsid w:val="00266F2C"/>
    <w:rsid w:val="00271BE8"/>
    <w:rsid w:val="00272224"/>
    <w:rsid w:val="00272B8B"/>
    <w:rsid w:val="002732F2"/>
    <w:rsid w:val="00273D50"/>
    <w:rsid w:val="00274CF3"/>
    <w:rsid w:val="00274DA0"/>
    <w:rsid w:val="00275659"/>
    <w:rsid w:val="00276381"/>
    <w:rsid w:val="00281464"/>
    <w:rsid w:val="00282E46"/>
    <w:rsid w:val="00286266"/>
    <w:rsid w:val="00287457"/>
    <w:rsid w:val="002878F6"/>
    <w:rsid w:val="00290442"/>
    <w:rsid w:val="00290919"/>
    <w:rsid w:val="0029262A"/>
    <w:rsid w:val="002930E6"/>
    <w:rsid w:val="00295223"/>
    <w:rsid w:val="00295DA8"/>
    <w:rsid w:val="00297CE4"/>
    <w:rsid w:val="002A1E61"/>
    <w:rsid w:val="002A1FC6"/>
    <w:rsid w:val="002A2221"/>
    <w:rsid w:val="002A25A4"/>
    <w:rsid w:val="002A26A1"/>
    <w:rsid w:val="002A2954"/>
    <w:rsid w:val="002A39F1"/>
    <w:rsid w:val="002A5A7F"/>
    <w:rsid w:val="002A6C99"/>
    <w:rsid w:val="002A75AC"/>
    <w:rsid w:val="002B03F3"/>
    <w:rsid w:val="002B0CFB"/>
    <w:rsid w:val="002B0F84"/>
    <w:rsid w:val="002B1C28"/>
    <w:rsid w:val="002B4394"/>
    <w:rsid w:val="002B6083"/>
    <w:rsid w:val="002B678D"/>
    <w:rsid w:val="002B689C"/>
    <w:rsid w:val="002B74AC"/>
    <w:rsid w:val="002B77AB"/>
    <w:rsid w:val="002C0F3C"/>
    <w:rsid w:val="002C192E"/>
    <w:rsid w:val="002C3759"/>
    <w:rsid w:val="002C3CE7"/>
    <w:rsid w:val="002C54D1"/>
    <w:rsid w:val="002C7A10"/>
    <w:rsid w:val="002D1F31"/>
    <w:rsid w:val="002D2FFA"/>
    <w:rsid w:val="002D322C"/>
    <w:rsid w:val="002D4047"/>
    <w:rsid w:val="002D446C"/>
    <w:rsid w:val="002D4AC6"/>
    <w:rsid w:val="002D6F01"/>
    <w:rsid w:val="002D6F50"/>
    <w:rsid w:val="002E1D39"/>
    <w:rsid w:val="002E2BC9"/>
    <w:rsid w:val="002E4C7C"/>
    <w:rsid w:val="002E5DB1"/>
    <w:rsid w:val="002E6A84"/>
    <w:rsid w:val="002E787C"/>
    <w:rsid w:val="002F05A6"/>
    <w:rsid w:val="002F0703"/>
    <w:rsid w:val="002F1BFC"/>
    <w:rsid w:val="002F2A00"/>
    <w:rsid w:val="002F3B20"/>
    <w:rsid w:val="002F50F1"/>
    <w:rsid w:val="002F53AB"/>
    <w:rsid w:val="002F6758"/>
    <w:rsid w:val="002F6A39"/>
    <w:rsid w:val="002F7EFA"/>
    <w:rsid w:val="0030104A"/>
    <w:rsid w:val="00301C00"/>
    <w:rsid w:val="00301C7E"/>
    <w:rsid w:val="00301F3E"/>
    <w:rsid w:val="003026FE"/>
    <w:rsid w:val="00304930"/>
    <w:rsid w:val="00310348"/>
    <w:rsid w:val="003108CF"/>
    <w:rsid w:val="00312691"/>
    <w:rsid w:val="00312B64"/>
    <w:rsid w:val="003171E9"/>
    <w:rsid w:val="00317D64"/>
    <w:rsid w:val="003200FB"/>
    <w:rsid w:val="00321130"/>
    <w:rsid w:val="00322B77"/>
    <w:rsid w:val="0032374B"/>
    <w:rsid w:val="0032655F"/>
    <w:rsid w:val="003270F6"/>
    <w:rsid w:val="003276E0"/>
    <w:rsid w:val="00327DBD"/>
    <w:rsid w:val="00331664"/>
    <w:rsid w:val="003338DA"/>
    <w:rsid w:val="00334D01"/>
    <w:rsid w:val="00334D50"/>
    <w:rsid w:val="00335EED"/>
    <w:rsid w:val="003366F6"/>
    <w:rsid w:val="00337F46"/>
    <w:rsid w:val="00342B7C"/>
    <w:rsid w:val="00342F74"/>
    <w:rsid w:val="00343034"/>
    <w:rsid w:val="003464E6"/>
    <w:rsid w:val="00351A1B"/>
    <w:rsid w:val="00351DE0"/>
    <w:rsid w:val="00354A31"/>
    <w:rsid w:val="003568C1"/>
    <w:rsid w:val="00361847"/>
    <w:rsid w:val="00362051"/>
    <w:rsid w:val="0036299D"/>
    <w:rsid w:val="003638DC"/>
    <w:rsid w:val="00370455"/>
    <w:rsid w:val="0037051D"/>
    <w:rsid w:val="003718BF"/>
    <w:rsid w:val="003728F1"/>
    <w:rsid w:val="00373E51"/>
    <w:rsid w:val="003740C7"/>
    <w:rsid w:val="00375A4D"/>
    <w:rsid w:val="0038574B"/>
    <w:rsid w:val="00387F88"/>
    <w:rsid w:val="003909CA"/>
    <w:rsid w:val="00390AF9"/>
    <w:rsid w:val="00390FB5"/>
    <w:rsid w:val="003927ED"/>
    <w:rsid w:val="00392FE9"/>
    <w:rsid w:val="00393165"/>
    <w:rsid w:val="00393936"/>
    <w:rsid w:val="00395DEB"/>
    <w:rsid w:val="00395FEF"/>
    <w:rsid w:val="0039708A"/>
    <w:rsid w:val="003978FF"/>
    <w:rsid w:val="00397A78"/>
    <w:rsid w:val="003A04F6"/>
    <w:rsid w:val="003A0CAA"/>
    <w:rsid w:val="003A2571"/>
    <w:rsid w:val="003A3BC0"/>
    <w:rsid w:val="003A6AC0"/>
    <w:rsid w:val="003B0EF7"/>
    <w:rsid w:val="003B3284"/>
    <w:rsid w:val="003B65A8"/>
    <w:rsid w:val="003C3E9D"/>
    <w:rsid w:val="003C50D1"/>
    <w:rsid w:val="003C5A9C"/>
    <w:rsid w:val="003C6B6C"/>
    <w:rsid w:val="003C70CB"/>
    <w:rsid w:val="003D02A0"/>
    <w:rsid w:val="003D0324"/>
    <w:rsid w:val="003D130A"/>
    <w:rsid w:val="003D3DE9"/>
    <w:rsid w:val="003D3E0A"/>
    <w:rsid w:val="003D6510"/>
    <w:rsid w:val="003D6D5C"/>
    <w:rsid w:val="003E1EBD"/>
    <w:rsid w:val="003E2E98"/>
    <w:rsid w:val="003E361D"/>
    <w:rsid w:val="003E5A06"/>
    <w:rsid w:val="003E6483"/>
    <w:rsid w:val="003F204F"/>
    <w:rsid w:val="003F470D"/>
    <w:rsid w:val="003F5CDC"/>
    <w:rsid w:val="003F7E47"/>
    <w:rsid w:val="00402D0B"/>
    <w:rsid w:val="00404D65"/>
    <w:rsid w:val="00405025"/>
    <w:rsid w:val="0040616B"/>
    <w:rsid w:val="0040638D"/>
    <w:rsid w:val="00407E28"/>
    <w:rsid w:val="00410609"/>
    <w:rsid w:val="0041113B"/>
    <w:rsid w:val="00411366"/>
    <w:rsid w:val="004122F1"/>
    <w:rsid w:val="00415C30"/>
    <w:rsid w:val="004208BE"/>
    <w:rsid w:val="004239E0"/>
    <w:rsid w:val="004252D2"/>
    <w:rsid w:val="00425A29"/>
    <w:rsid w:val="00426181"/>
    <w:rsid w:val="004261C8"/>
    <w:rsid w:val="00427515"/>
    <w:rsid w:val="004276D5"/>
    <w:rsid w:val="004316B5"/>
    <w:rsid w:val="0043214B"/>
    <w:rsid w:val="00432305"/>
    <w:rsid w:val="00432C53"/>
    <w:rsid w:val="00432FF8"/>
    <w:rsid w:val="00433E96"/>
    <w:rsid w:val="00434FCF"/>
    <w:rsid w:val="00435E0E"/>
    <w:rsid w:val="0043670A"/>
    <w:rsid w:val="00436F6F"/>
    <w:rsid w:val="00442828"/>
    <w:rsid w:val="00443222"/>
    <w:rsid w:val="0044623E"/>
    <w:rsid w:val="00446401"/>
    <w:rsid w:val="00446E4C"/>
    <w:rsid w:val="00451858"/>
    <w:rsid w:val="00452BA2"/>
    <w:rsid w:val="004530E9"/>
    <w:rsid w:val="00454678"/>
    <w:rsid w:val="00454A44"/>
    <w:rsid w:val="00454FF9"/>
    <w:rsid w:val="00455130"/>
    <w:rsid w:val="00456DEA"/>
    <w:rsid w:val="00460882"/>
    <w:rsid w:val="00461244"/>
    <w:rsid w:val="00461D78"/>
    <w:rsid w:val="004632FF"/>
    <w:rsid w:val="00466BFF"/>
    <w:rsid w:val="00467518"/>
    <w:rsid w:val="004707EE"/>
    <w:rsid w:val="00470E48"/>
    <w:rsid w:val="004719C0"/>
    <w:rsid w:val="00471CCF"/>
    <w:rsid w:val="00473F36"/>
    <w:rsid w:val="00476780"/>
    <w:rsid w:val="00476FB0"/>
    <w:rsid w:val="00477C24"/>
    <w:rsid w:val="00480BC5"/>
    <w:rsid w:val="004844E5"/>
    <w:rsid w:val="004864A7"/>
    <w:rsid w:val="004904DD"/>
    <w:rsid w:val="00491597"/>
    <w:rsid w:val="00491775"/>
    <w:rsid w:val="00491BEE"/>
    <w:rsid w:val="00493C83"/>
    <w:rsid w:val="00494BE1"/>
    <w:rsid w:val="00494E0A"/>
    <w:rsid w:val="00494F68"/>
    <w:rsid w:val="00497CE5"/>
    <w:rsid w:val="004A00C3"/>
    <w:rsid w:val="004A10E5"/>
    <w:rsid w:val="004A2AFC"/>
    <w:rsid w:val="004A2B3A"/>
    <w:rsid w:val="004A3438"/>
    <w:rsid w:val="004A577E"/>
    <w:rsid w:val="004A57A5"/>
    <w:rsid w:val="004A6AC9"/>
    <w:rsid w:val="004B1834"/>
    <w:rsid w:val="004B3926"/>
    <w:rsid w:val="004B4729"/>
    <w:rsid w:val="004B7198"/>
    <w:rsid w:val="004C00A5"/>
    <w:rsid w:val="004C0F16"/>
    <w:rsid w:val="004C1B38"/>
    <w:rsid w:val="004C3BA9"/>
    <w:rsid w:val="004C55F0"/>
    <w:rsid w:val="004C5DB1"/>
    <w:rsid w:val="004C6A88"/>
    <w:rsid w:val="004D03D3"/>
    <w:rsid w:val="004D04B3"/>
    <w:rsid w:val="004D071E"/>
    <w:rsid w:val="004D0C9B"/>
    <w:rsid w:val="004D1193"/>
    <w:rsid w:val="004D252A"/>
    <w:rsid w:val="004D3FE0"/>
    <w:rsid w:val="004D5714"/>
    <w:rsid w:val="004D6CE0"/>
    <w:rsid w:val="004D72E4"/>
    <w:rsid w:val="004E0D39"/>
    <w:rsid w:val="004E1DAE"/>
    <w:rsid w:val="004E3DA7"/>
    <w:rsid w:val="004E462F"/>
    <w:rsid w:val="004E57DF"/>
    <w:rsid w:val="004E5890"/>
    <w:rsid w:val="004E67A0"/>
    <w:rsid w:val="004E76DE"/>
    <w:rsid w:val="004F0232"/>
    <w:rsid w:val="004F12BB"/>
    <w:rsid w:val="004F512C"/>
    <w:rsid w:val="004F5440"/>
    <w:rsid w:val="004F5A15"/>
    <w:rsid w:val="004F6E94"/>
    <w:rsid w:val="004F73E2"/>
    <w:rsid w:val="004F7654"/>
    <w:rsid w:val="004F7B7C"/>
    <w:rsid w:val="00501D33"/>
    <w:rsid w:val="005020D6"/>
    <w:rsid w:val="00502223"/>
    <w:rsid w:val="005058B0"/>
    <w:rsid w:val="00506ED5"/>
    <w:rsid w:val="00510CB1"/>
    <w:rsid w:val="00511AA6"/>
    <w:rsid w:val="005152BD"/>
    <w:rsid w:val="00517759"/>
    <w:rsid w:val="00520D23"/>
    <w:rsid w:val="005238E6"/>
    <w:rsid w:val="00523DBA"/>
    <w:rsid w:val="00524938"/>
    <w:rsid w:val="00526BB2"/>
    <w:rsid w:val="00526E63"/>
    <w:rsid w:val="0052766D"/>
    <w:rsid w:val="00530DBC"/>
    <w:rsid w:val="00531701"/>
    <w:rsid w:val="005321F4"/>
    <w:rsid w:val="0053257B"/>
    <w:rsid w:val="00532639"/>
    <w:rsid w:val="005338AB"/>
    <w:rsid w:val="00533BAA"/>
    <w:rsid w:val="005349C6"/>
    <w:rsid w:val="00536076"/>
    <w:rsid w:val="0054207A"/>
    <w:rsid w:val="00542A4D"/>
    <w:rsid w:val="00543096"/>
    <w:rsid w:val="00543545"/>
    <w:rsid w:val="005437CD"/>
    <w:rsid w:val="00545985"/>
    <w:rsid w:val="0054697C"/>
    <w:rsid w:val="00551313"/>
    <w:rsid w:val="00552AC4"/>
    <w:rsid w:val="00552D39"/>
    <w:rsid w:val="00554A5D"/>
    <w:rsid w:val="00554D34"/>
    <w:rsid w:val="00555364"/>
    <w:rsid w:val="00556726"/>
    <w:rsid w:val="005576C7"/>
    <w:rsid w:val="00557DF7"/>
    <w:rsid w:val="00561381"/>
    <w:rsid w:val="005618F2"/>
    <w:rsid w:val="0056202A"/>
    <w:rsid w:val="00562414"/>
    <w:rsid w:val="00562D77"/>
    <w:rsid w:val="00566E51"/>
    <w:rsid w:val="00570194"/>
    <w:rsid w:val="0057043F"/>
    <w:rsid w:val="00572417"/>
    <w:rsid w:val="0057393F"/>
    <w:rsid w:val="00574173"/>
    <w:rsid w:val="00574411"/>
    <w:rsid w:val="0057499E"/>
    <w:rsid w:val="00574A56"/>
    <w:rsid w:val="00574C79"/>
    <w:rsid w:val="00574EEA"/>
    <w:rsid w:val="00575C44"/>
    <w:rsid w:val="00575F80"/>
    <w:rsid w:val="005803D6"/>
    <w:rsid w:val="00580B8F"/>
    <w:rsid w:val="00582FB1"/>
    <w:rsid w:val="00583051"/>
    <w:rsid w:val="00586637"/>
    <w:rsid w:val="00586A40"/>
    <w:rsid w:val="0058760F"/>
    <w:rsid w:val="00590D7E"/>
    <w:rsid w:val="00592B24"/>
    <w:rsid w:val="00592C16"/>
    <w:rsid w:val="00592F6A"/>
    <w:rsid w:val="00593D81"/>
    <w:rsid w:val="00594705"/>
    <w:rsid w:val="00595538"/>
    <w:rsid w:val="00596196"/>
    <w:rsid w:val="005962C5"/>
    <w:rsid w:val="005A1956"/>
    <w:rsid w:val="005A1CD2"/>
    <w:rsid w:val="005A299B"/>
    <w:rsid w:val="005A2DFC"/>
    <w:rsid w:val="005A3056"/>
    <w:rsid w:val="005A5870"/>
    <w:rsid w:val="005A5FDE"/>
    <w:rsid w:val="005B0434"/>
    <w:rsid w:val="005B2188"/>
    <w:rsid w:val="005B55F1"/>
    <w:rsid w:val="005B5EC2"/>
    <w:rsid w:val="005B6071"/>
    <w:rsid w:val="005B696D"/>
    <w:rsid w:val="005C0962"/>
    <w:rsid w:val="005C0D1D"/>
    <w:rsid w:val="005C406A"/>
    <w:rsid w:val="005C51B1"/>
    <w:rsid w:val="005C62F5"/>
    <w:rsid w:val="005C7AA4"/>
    <w:rsid w:val="005C7D3B"/>
    <w:rsid w:val="005D2A6B"/>
    <w:rsid w:val="005D37B7"/>
    <w:rsid w:val="005E052B"/>
    <w:rsid w:val="005E067E"/>
    <w:rsid w:val="005E242D"/>
    <w:rsid w:val="005E3C6C"/>
    <w:rsid w:val="005E57E8"/>
    <w:rsid w:val="005E6220"/>
    <w:rsid w:val="005E6B4D"/>
    <w:rsid w:val="005F0CD3"/>
    <w:rsid w:val="005F0DC7"/>
    <w:rsid w:val="005F102C"/>
    <w:rsid w:val="005F49A4"/>
    <w:rsid w:val="005F5811"/>
    <w:rsid w:val="005F762C"/>
    <w:rsid w:val="006001B8"/>
    <w:rsid w:val="00601E9B"/>
    <w:rsid w:val="00606F95"/>
    <w:rsid w:val="0061079A"/>
    <w:rsid w:val="0061244D"/>
    <w:rsid w:val="00612860"/>
    <w:rsid w:val="00614A0F"/>
    <w:rsid w:val="00614F63"/>
    <w:rsid w:val="0061581E"/>
    <w:rsid w:val="0061721D"/>
    <w:rsid w:val="0061765F"/>
    <w:rsid w:val="00620487"/>
    <w:rsid w:val="00621EC3"/>
    <w:rsid w:val="00621EDE"/>
    <w:rsid w:val="006257A9"/>
    <w:rsid w:val="00632B34"/>
    <w:rsid w:val="00633F1A"/>
    <w:rsid w:val="00635F4B"/>
    <w:rsid w:val="006368C8"/>
    <w:rsid w:val="00637D39"/>
    <w:rsid w:val="006415DA"/>
    <w:rsid w:val="00642EB0"/>
    <w:rsid w:val="00643439"/>
    <w:rsid w:val="0064394F"/>
    <w:rsid w:val="0064445E"/>
    <w:rsid w:val="00645AEC"/>
    <w:rsid w:val="00646B36"/>
    <w:rsid w:val="0064757D"/>
    <w:rsid w:val="006530C9"/>
    <w:rsid w:val="00653D32"/>
    <w:rsid w:val="00653F09"/>
    <w:rsid w:val="0065552D"/>
    <w:rsid w:val="006574AE"/>
    <w:rsid w:val="00660FBA"/>
    <w:rsid w:val="00661084"/>
    <w:rsid w:val="006621C0"/>
    <w:rsid w:val="00663817"/>
    <w:rsid w:val="0066419E"/>
    <w:rsid w:val="0066468C"/>
    <w:rsid w:val="00665F23"/>
    <w:rsid w:val="00666BD5"/>
    <w:rsid w:val="00667014"/>
    <w:rsid w:val="0066711E"/>
    <w:rsid w:val="00672665"/>
    <w:rsid w:val="00673051"/>
    <w:rsid w:val="00674462"/>
    <w:rsid w:val="00676BB5"/>
    <w:rsid w:val="006775FE"/>
    <w:rsid w:val="00677E11"/>
    <w:rsid w:val="00682075"/>
    <w:rsid w:val="006860C5"/>
    <w:rsid w:val="00691748"/>
    <w:rsid w:val="00691EE3"/>
    <w:rsid w:val="00692F1A"/>
    <w:rsid w:val="0069431B"/>
    <w:rsid w:val="006A1A5E"/>
    <w:rsid w:val="006A2F16"/>
    <w:rsid w:val="006A4369"/>
    <w:rsid w:val="006A441C"/>
    <w:rsid w:val="006A49BF"/>
    <w:rsid w:val="006A699B"/>
    <w:rsid w:val="006A7150"/>
    <w:rsid w:val="006A7BB1"/>
    <w:rsid w:val="006A7FA2"/>
    <w:rsid w:val="006B00BB"/>
    <w:rsid w:val="006B00E7"/>
    <w:rsid w:val="006B01EB"/>
    <w:rsid w:val="006B0C01"/>
    <w:rsid w:val="006B3D01"/>
    <w:rsid w:val="006B5408"/>
    <w:rsid w:val="006C0AA2"/>
    <w:rsid w:val="006C1CAC"/>
    <w:rsid w:val="006C250B"/>
    <w:rsid w:val="006C4F44"/>
    <w:rsid w:val="006C5C0A"/>
    <w:rsid w:val="006C5E3A"/>
    <w:rsid w:val="006C77D2"/>
    <w:rsid w:val="006D0EDF"/>
    <w:rsid w:val="006D109A"/>
    <w:rsid w:val="006D1C22"/>
    <w:rsid w:val="006D4A13"/>
    <w:rsid w:val="006D53A3"/>
    <w:rsid w:val="006D703D"/>
    <w:rsid w:val="006D7A92"/>
    <w:rsid w:val="006E0CC3"/>
    <w:rsid w:val="006E190F"/>
    <w:rsid w:val="006E2D7F"/>
    <w:rsid w:val="006E31AE"/>
    <w:rsid w:val="006E33F5"/>
    <w:rsid w:val="006E3A06"/>
    <w:rsid w:val="006E3A57"/>
    <w:rsid w:val="006E56E0"/>
    <w:rsid w:val="006E7D5F"/>
    <w:rsid w:val="006F0AE4"/>
    <w:rsid w:val="006F218D"/>
    <w:rsid w:val="006F49B8"/>
    <w:rsid w:val="006F5B67"/>
    <w:rsid w:val="006F685E"/>
    <w:rsid w:val="006F6F54"/>
    <w:rsid w:val="006F77CE"/>
    <w:rsid w:val="00700D04"/>
    <w:rsid w:val="00701280"/>
    <w:rsid w:val="0070132D"/>
    <w:rsid w:val="007037F9"/>
    <w:rsid w:val="00703E46"/>
    <w:rsid w:val="0070428C"/>
    <w:rsid w:val="00704486"/>
    <w:rsid w:val="00704525"/>
    <w:rsid w:val="00706ED9"/>
    <w:rsid w:val="00707748"/>
    <w:rsid w:val="00710328"/>
    <w:rsid w:val="00710566"/>
    <w:rsid w:val="0071109B"/>
    <w:rsid w:val="007112B3"/>
    <w:rsid w:val="00711F1E"/>
    <w:rsid w:val="007127EC"/>
    <w:rsid w:val="007128C0"/>
    <w:rsid w:val="00712EAB"/>
    <w:rsid w:val="007149D7"/>
    <w:rsid w:val="00715071"/>
    <w:rsid w:val="007175F5"/>
    <w:rsid w:val="00721D75"/>
    <w:rsid w:val="007231E1"/>
    <w:rsid w:val="00723E2B"/>
    <w:rsid w:val="00725512"/>
    <w:rsid w:val="007265DA"/>
    <w:rsid w:val="00726964"/>
    <w:rsid w:val="00726C0A"/>
    <w:rsid w:val="00726CB7"/>
    <w:rsid w:val="007326AE"/>
    <w:rsid w:val="007326FD"/>
    <w:rsid w:val="0073365E"/>
    <w:rsid w:val="00733754"/>
    <w:rsid w:val="00733AED"/>
    <w:rsid w:val="0073587F"/>
    <w:rsid w:val="007374C1"/>
    <w:rsid w:val="00737E17"/>
    <w:rsid w:val="00741B15"/>
    <w:rsid w:val="007421C9"/>
    <w:rsid w:val="007426A3"/>
    <w:rsid w:val="007439BB"/>
    <w:rsid w:val="00743EE1"/>
    <w:rsid w:val="00744F8F"/>
    <w:rsid w:val="00746373"/>
    <w:rsid w:val="00746733"/>
    <w:rsid w:val="00746C7A"/>
    <w:rsid w:val="007477FC"/>
    <w:rsid w:val="00750226"/>
    <w:rsid w:val="007523A7"/>
    <w:rsid w:val="007527B3"/>
    <w:rsid w:val="00752890"/>
    <w:rsid w:val="00753499"/>
    <w:rsid w:val="00754680"/>
    <w:rsid w:val="007573B5"/>
    <w:rsid w:val="007577DC"/>
    <w:rsid w:val="007615D8"/>
    <w:rsid w:val="007627E5"/>
    <w:rsid w:val="00762873"/>
    <w:rsid w:val="0076339A"/>
    <w:rsid w:val="007638C4"/>
    <w:rsid w:val="00764CE5"/>
    <w:rsid w:val="00765E57"/>
    <w:rsid w:val="00767C38"/>
    <w:rsid w:val="00772EB2"/>
    <w:rsid w:val="00777285"/>
    <w:rsid w:val="0077729F"/>
    <w:rsid w:val="007779A4"/>
    <w:rsid w:val="007822C9"/>
    <w:rsid w:val="00787227"/>
    <w:rsid w:val="007901E3"/>
    <w:rsid w:val="00790894"/>
    <w:rsid w:val="00791EE8"/>
    <w:rsid w:val="00794CF1"/>
    <w:rsid w:val="00795F5F"/>
    <w:rsid w:val="007968A7"/>
    <w:rsid w:val="00797484"/>
    <w:rsid w:val="0079768F"/>
    <w:rsid w:val="007A05CB"/>
    <w:rsid w:val="007A3347"/>
    <w:rsid w:val="007A3E18"/>
    <w:rsid w:val="007A51CA"/>
    <w:rsid w:val="007B187F"/>
    <w:rsid w:val="007B2212"/>
    <w:rsid w:val="007B3F36"/>
    <w:rsid w:val="007B4099"/>
    <w:rsid w:val="007B4460"/>
    <w:rsid w:val="007B5A7B"/>
    <w:rsid w:val="007B7FD6"/>
    <w:rsid w:val="007C011F"/>
    <w:rsid w:val="007C0D14"/>
    <w:rsid w:val="007C14AC"/>
    <w:rsid w:val="007C420A"/>
    <w:rsid w:val="007D36AC"/>
    <w:rsid w:val="007D784B"/>
    <w:rsid w:val="007D7EB3"/>
    <w:rsid w:val="007E38E9"/>
    <w:rsid w:val="007E3A7F"/>
    <w:rsid w:val="007F1536"/>
    <w:rsid w:val="007F238F"/>
    <w:rsid w:val="007F27F3"/>
    <w:rsid w:val="007F5CB3"/>
    <w:rsid w:val="007F6EA1"/>
    <w:rsid w:val="00800B11"/>
    <w:rsid w:val="00801538"/>
    <w:rsid w:val="00801C38"/>
    <w:rsid w:val="008114A0"/>
    <w:rsid w:val="00813785"/>
    <w:rsid w:val="00813D47"/>
    <w:rsid w:val="00816DAC"/>
    <w:rsid w:val="008242E8"/>
    <w:rsid w:val="00825441"/>
    <w:rsid w:val="008263B3"/>
    <w:rsid w:val="008268C0"/>
    <w:rsid w:val="00826A15"/>
    <w:rsid w:val="00827F43"/>
    <w:rsid w:val="00830B1A"/>
    <w:rsid w:val="00830E0E"/>
    <w:rsid w:val="008320B9"/>
    <w:rsid w:val="008329A5"/>
    <w:rsid w:val="00833BCC"/>
    <w:rsid w:val="008348AE"/>
    <w:rsid w:val="008404C7"/>
    <w:rsid w:val="00841952"/>
    <w:rsid w:val="00841EE8"/>
    <w:rsid w:val="00842941"/>
    <w:rsid w:val="008437DA"/>
    <w:rsid w:val="00845A49"/>
    <w:rsid w:val="00845D93"/>
    <w:rsid w:val="00845E29"/>
    <w:rsid w:val="0084737A"/>
    <w:rsid w:val="00850AD0"/>
    <w:rsid w:val="00852C69"/>
    <w:rsid w:val="00854F78"/>
    <w:rsid w:val="0085515C"/>
    <w:rsid w:val="008554AB"/>
    <w:rsid w:val="0085626F"/>
    <w:rsid w:val="00857CA0"/>
    <w:rsid w:val="00857CF7"/>
    <w:rsid w:val="00860341"/>
    <w:rsid w:val="00860956"/>
    <w:rsid w:val="0086143E"/>
    <w:rsid w:val="00861938"/>
    <w:rsid w:val="008619C6"/>
    <w:rsid w:val="0086310B"/>
    <w:rsid w:val="008635FF"/>
    <w:rsid w:val="00863F9D"/>
    <w:rsid w:val="00866698"/>
    <w:rsid w:val="00866C03"/>
    <w:rsid w:val="00867326"/>
    <w:rsid w:val="008715FF"/>
    <w:rsid w:val="0087377E"/>
    <w:rsid w:val="00873837"/>
    <w:rsid w:val="00873C25"/>
    <w:rsid w:val="00873E1B"/>
    <w:rsid w:val="00873FE8"/>
    <w:rsid w:val="00876894"/>
    <w:rsid w:val="0087737E"/>
    <w:rsid w:val="0088028A"/>
    <w:rsid w:val="00880DB7"/>
    <w:rsid w:val="0088137E"/>
    <w:rsid w:val="00882723"/>
    <w:rsid w:val="00882BFB"/>
    <w:rsid w:val="00883F1D"/>
    <w:rsid w:val="00883F31"/>
    <w:rsid w:val="008853FD"/>
    <w:rsid w:val="00885F0D"/>
    <w:rsid w:val="0088631F"/>
    <w:rsid w:val="0088670F"/>
    <w:rsid w:val="00887091"/>
    <w:rsid w:val="008878FB"/>
    <w:rsid w:val="00887EED"/>
    <w:rsid w:val="008917BA"/>
    <w:rsid w:val="00892D93"/>
    <w:rsid w:val="00895673"/>
    <w:rsid w:val="008964B4"/>
    <w:rsid w:val="00897B01"/>
    <w:rsid w:val="008A0313"/>
    <w:rsid w:val="008A138F"/>
    <w:rsid w:val="008A2B3B"/>
    <w:rsid w:val="008A357D"/>
    <w:rsid w:val="008A3DFC"/>
    <w:rsid w:val="008A3E40"/>
    <w:rsid w:val="008A4E3D"/>
    <w:rsid w:val="008A5840"/>
    <w:rsid w:val="008A6312"/>
    <w:rsid w:val="008B185C"/>
    <w:rsid w:val="008B36D8"/>
    <w:rsid w:val="008B476F"/>
    <w:rsid w:val="008B5391"/>
    <w:rsid w:val="008B632A"/>
    <w:rsid w:val="008B71BE"/>
    <w:rsid w:val="008B74BE"/>
    <w:rsid w:val="008B794C"/>
    <w:rsid w:val="008C4457"/>
    <w:rsid w:val="008C4786"/>
    <w:rsid w:val="008C503B"/>
    <w:rsid w:val="008C5665"/>
    <w:rsid w:val="008C6C49"/>
    <w:rsid w:val="008C7069"/>
    <w:rsid w:val="008D1123"/>
    <w:rsid w:val="008D3399"/>
    <w:rsid w:val="008D42BD"/>
    <w:rsid w:val="008D5E55"/>
    <w:rsid w:val="008D6A22"/>
    <w:rsid w:val="008D7593"/>
    <w:rsid w:val="008E0442"/>
    <w:rsid w:val="008E126D"/>
    <w:rsid w:val="008E13E0"/>
    <w:rsid w:val="008E1670"/>
    <w:rsid w:val="008E3176"/>
    <w:rsid w:val="008E32A8"/>
    <w:rsid w:val="008E34F9"/>
    <w:rsid w:val="008E356A"/>
    <w:rsid w:val="008E4C94"/>
    <w:rsid w:val="008E669E"/>
    <w:rsid w:val="008E7359"/>
    <w:rsid w:val="008E793C"/>
    <w:rsid w:val="008E7EBB"/>
    <w:rsid w:val="008F0838"/>
    <w:rsid w:val="008F0C4D"/>
    <w:rsid w:val="008F1C12"/>
    <w:rsid w:val="008F2B47"/>
    <w:rsid w:val="008F382E"/>
    <w:rsid w:val="008F4E1C"/>
    <w:rsid w:val="008F64B7"/>
    <w:rsid w:val="00901660"/>
    <w:rsid w:val="0090276B"/>
    <w:rsid w:val="00903C42"/>
    <w:rsid w:val="00903E69"/>
    <w:rsid w:val="00910AA6"/>
    <w:rsid w:val="00912ECD"/>
    <w:rsid w:val="00914421"/>
    <w:rsid w:val="00914EF4"/>
    <w:rsid w:val="00920C5F"/>
    <w:rsid w:val="00921C45"/>
    <w:rsid w:val="009229D0"/>
    <w:rsid w:val="009231E9"/>
    <w:rsid w:val="009242AB"/>
    <w:rsid w:val="009242E3"/>
    <w:rsid w:val="0092469B"/>
    <w:rsid w:val="00924877"/>
    <w:rsid w:val="00925331"/>
    <w:rsid w:val="009257C5"/>
    <w:rsid w:val="0092749E"/>
    <w:rsid w:val="0092796E"/>
    <w:rsid w:val="00927FD2"/>
    <w:rsid w:val="009302F9"/>
    <w:rsid w:val="0093235D"/>
    <w:rsid w:val="00932412"/>
    <w:rsid w:val="00933F9E"/>
    <w:rsid w:val="00934C5E"/>
    <w:rsid w:val="00940328"/>
    <w:rsid w:val="00941C00"/>
    <w:rsid w:val="00942714"/>
    <w:rsid w:val="00942C71"/>
    <w:rsid w:val="00944039"/>
    <w:rsid w:val="0094459C"/>
    <w:rsid w:val="009449C9"/>
    <w:rsid w:val="00945491"/>
    <w:rsid w:val="009502C6"/>
    <w:rsid w:val="009504A3"/>
    <w:rsid w:val="00950BA5"/>
    <w:rsid w:val="009533F2"/>
    <w:rsid w:val="00953763"/>
    <w:rsid w:val="009563C1"/>
    <w:rsid w:val="0095658B"/>
    <w:rsid w:val="009606A9"/>
    <w:rsid w:val="0096537C"/>
    <w:rsid w:val="009662F6"/>
    <w:rsid w:val="00970A1A"/>
    <w:rsid w:val="009711F8"/>
    <w:rsid w:val="00972031"/>
    <w:rsid w:val="00973229"/>
    <w:rsid w:val="00974852"/>
    <w:rsid w:val="00975CB2"/>
    <w:rsid w:val="0097756B"/>
    <w:rsid w:val="009779CC"/>
    <w:rsid w:val="009813A2"/>
    <w:rsid w:val="00981755"/>
    <w:rsid w:val="00981CD8"/>
    <w:rsid w:val="009821BC"/>
    <w:rsid w:val="009839BE"/>
    <w:rsid w:val="00985C33"/>
    <w:rsid w:val="00985E8A"/>
    <w:rsid w:val="00986690"/>
    <w:rsid w:val="009910D4"/>
    <w:rsid w:val="00992406"/>
    <w:rsid w:val="00992599"/>
    <w:rsid w:val="0099337B"/>
    <w:rsid w:val="00993EF7"/>
    <w:rsid w:val="00994751"/>
    <w:rsid w:val="00994C43"/>
    <w:rsid w:val="00994DE4"/>
    <w:rsid w:val="009954AD"/>
    <w:rsid w:val="00995AAD"/>
    <w:rsid w:val="00995DDA"/>
    <w:rsid w:val="009A3711"/>
    <w:rsid w:val="009A58FB"/>
    <w:rsid w:val="009A5FF8"/>
    <w:rsid w:val="009A7E9A"/>
    <w:rsid w:val="009B0DF0"/>
    <w:rsid w:val="009B4330"/>
    <w:rsid w:val="009B4C89"/>
    <w:rsid w:val="009B4E40"/>
    <w:rsid w:val="009B4F99"/>
    <w:rsid w:val="009B7473"/>
    <w:rsid w:val="009C1168"/>
    <w:rsid w:val="009C1989"/>
    <w:rsid w:val="009C3AF9"/>
    <w:rsid w:val="009C3F9B"/>
    <w:rsid w:val="009C4551"/>
    <w:rsid w:val="009C457B"/>
    <w:rsid w:val="009C7B89"/>
    <w:rsid w:val="009D1972"/>
    <w:rsid w:val="009D23FC"/>
    <w:rsid w:val="009D2505"/>
    <w:rsid w:val="009D552B"/>
    <w:rsid w:val="009D5545"/>
    <w:rsid w:val="009D5720"/>
    <w:rsid w:val="009D6D7F"/>
    <w:rsid w:val="009D6F2D"/>
    <w:rsid w:val="009D6F34"/>
    <w:rsid w:val="009E2B44"/>
    <w:rsid w:val="009E2DD5"/>
    <w:rsid w:val="009E2F16"/>
    <w:rsid w:val="009E3013"/>
    <w:rsid w:val="009E39C3"/>
    <w:rsid w:val="009E43D6"/>
    <w:rsid w:val="009E5C1A"/>
    <w:rsid w:val="009E7E20"/>
    <w:rsid w:val="009F1F8E"/>
    <w:rsid w:val="009F2465"/>
    <w:rsid w:val="009F6A81"/>
    <w:rsid w:val="009F7E9D"/>
    <w:rsid w:val="00A001F3"/>
    <w:rsid w:val="00A004F9"/>
    <w:rsid w:val="00A029C6"/>
    <w:rsid w:val="00A03992"/>
    <w:rsid w:val="00A05399"/>
    <w:rsid w:val="00A05D16"/>
    <w:rsid w:val="00A05D41"/>
    <w:rsid w:val="00A075CD"/>
    <w:rsid w:val="00A11E0B"/>
    <w:rsid w:val="00A130A9"/>
    <w:rsid w:val="00A1457A"/>
    <w:rsid w:val="00A14704"/>
    <w:rsid w:val="00A1643A"/>
    <w:rsid w:val="00A2051F"/>
    <w:rsid w:val="00A20785"/>
    <w:rsid w:val="00A22820"/>
    <w:rsid w:val="00A22CF6"/>
    <w:rsid w:val="00A240E1"/>
    <w:rsid w:val="00A24835"/>
    <w:rsid w:val="00A24B1A"/>
    <w:rsid w:val="00A27DCB"/>
    <w:rsid w:val="00A32967"/>
    <w:rsid w:val="00A338D3"/>
    <w:rsid w:val="00A34580"/>
    <w:rsid w:val="00A356CD"/>
    <w:rsid w:val="00A3581D"/>
    <w:rsid w:val="00A36CFA"/>
    <w:rsid w:val="00A40459"/>
    <w:rsid w:val="00A40A84"/>
    <w:rsid w:val="00A41812"/>
    <w:rsid w:val="00A429FD"/>
    <w:rsid w:val="00A43D7F"/>
    <w:rsid w:val="00A4412E"/>
    <w:rsid w:val="00A46DA6"/>
    <w:rsid w:val="00A47405"/>
    <w:rsid w:val="00A47835"/>
    <w:rsid w:val="00A522FE"/>
    <w:rsid w:val="00A526CB"/>
    <w:rsid w:val="00A56A1B"/>
    <w:rsid w:val="00A56BFE"/>
    <w:rsid w:val="00A573B2"/>
    <w:rsid w:val="00A60C89"/>
    <w:rsid w:val="00A66DBB"/>
    <w:rsid w:val="00A67C4A"/>
    <w:rsid w:val="00A7004C"/>
    <w:rsid w:val="00A73D79"/>
    <w:rsid w:val="00A743FA"/>
    <w:rsid w:val="00A7758A"/>
    <w:rsid w:val="00A7777B"/>
    <w:rsid w:val="00A80C6A"/>
    <w:rsid w:val="00A816F7"/>
    <w:rsid w:val="00A81A98"/>
    <w:rsid w:val="00A82AAC"/>
    <w:rsid w:val="00A833BF"/>
    <w:rsid w:val="00A83D43"/>
    <w:rsid w:val="00A8483A"/>
    <w:rsid w:val="00A8565D"/>
    <w:rsid w:val="00A860F6"/>
    <w:rsid w:val="00A86485"/>
    <w:rsid w:val="00A86B62"/>
    <w:rsid w:val="00A87B7F"/>
    <w:rsid w:val="00A87F39"/>
    <w:rsid w:val="00A9014E"/>
    <w:rsid w:val="00A90CA3"/>
    <w:rsid w:val="00A914F6"/>
    <w:rsid w:val="00A9249D"/>
    <w:rsid w:val="00A92C3F"/>
    <w:rsid w:val="00A92DC8"/>
    <w:rsid w:val="00A939A9"/>
    <w:rsid w:val="00A941DD"/>
    <w:rsid w:val="00A95740"/>
    <w:rsid w:val="00A963FB"/>
    <w:rsid w:val="00A97C43"/>
    <w:rsid w:val="00AA140B"/>
    <w:rsid w:val="00AA2763"/>
    <w:rsid w:val="00AA4D83"/>
    <w:rsid w:val="00AA618B"/>
    <w:rsid w:val="00AA6594"/>
    <w:rsid w:val="00AB1187"/>
    <w:rsid w:val="00AB16A3"/>
    <w:rsid w:val="00AB4006"/>
    <w:rsid w:val="00AB414C"/>
    <w:rsid w:val="00AB4230"/>
    <w:rsid w:val="00AB4DEA"/>
    <w:rsid w:val="00AB55CD"/>
    <w:rsid w:val="00AB55CF"/>
    <w:rsid w:val="00AB57B0"/>
    <w:rsid w:val="00AB582F"/>
    <w:rsid w:val="00AB687A"/>
    <w:rsid w:val="00AC036F"/>
    <w:rsid w:val="00AC0D38"/>
    <w:rsid w:val="00AC1C3B"/>
    <w:rsid w:val="00AC4DF5"/>
    <w:rsid w:val="00AC5834"/>
    <w:rsid w:val="00AC72A7"/>
    <w:rsid w:val="00AD1910"/>
    <w:rsid w:val="00AD3585"/>
    <w:rsid w:val="00AD3DEF"/>
    <w:rsid w:val="00AD4898"/>
    <w:rsid w:val="00AD5002"/>
    <w:rsid w:val="00AD545B"/>
    <w:rsid w:val="00AD674B"/>
    <w:rsid w:val="00AE09CD"/>
    <w:rsid w:val="00AE0CC0"/>
    <w:rsid w:val="00AE2671"/>
    <w:rsid w:val="00AE501B"/>
    <w:rsid w:val="00AE51C5"/>
    <w:rsid w:val="00AE6F8E"/>
    <w:rsid w:val="00AF0F42"/>
    <w:rsid w:val="00AF5C34"/>
    <w:rsid w:val="00AF7833"/>
    <w:rsid w:val="00B00C45"/>
    <w:rsid w:val="00B010B6"/>
    <w:rsid w:val="00B03D9C"/>
    <w:rsid w:val="00B0452B"/>
    <w:rsid w:val="00B04EA4"/>
    <w:rsid w:val="00B05EFF"/>
    <w:rsid w:val="00B11F18"/>
    <w:rsid w:val="00B127C4"/>
    <w:rsid w:val="00B13984"/>
    <w:rsid w:val="00B141AB"/>
    <w:rsid w:val="00B14FD2"/>
    <w:rsid w:val="00B151A4"/>
    <w:rsid w:val="00B2136C"/>
    <w:rsid w:val="00B225D6"/>
    <w:rsid w:val="00B230FD"/>
    <w:rsid w:val="00B23378"/>
    <w:rsid w:val="00B24BDA"/>
    <w:rsid w:val="00B2575F"/>
    <w:rsid w:val="00B26068"/>
    <w:rsid w:val="00B30116"/>
    <w:rsid w:val="00B31480"/>
    <w:rsid w:val="00B318A9"/>
    <w:rsid w:val="00B319B3"/>
    <w:rsid w:val="00B3253D"/>
    <w:rsid w:val="00B33206"/>
    <w:rsid w:val="00B3454B"/>
    <w:rsid w:val="00B372A9"/>
    <w:rsid w:val="00B4337F"/>
    <w:rsid w:val="00B442B7"/>
    <w:rsid w:val="00B473A5"/>
    <w:rsid w:val="00B50076"/>
    <w:rsid w:val="00B51143"/>
    <w:rsid w:val="00B51690"/>
    <w:rsid w:val="00B51CC0"/>
    <w:rsid w:val="00B523B4"/>
    <w:rsid w:val="00B5323A"/>
    <w:rsid w:val="00B53463"/>
    <w:rsid w:val="00B53C1E"/>
    <w:rsid w:val="00B543F3"/>
    <w:rsid w:val="00B5499F"/>
    <w:rsid w:val="00B57722"/>
    <w:rsid w:val="00B57819"/>
    <w:rsid w:val="00B63706"/>
    <w:rsid w:val="00B63B2D"/>
    <w:rsid w:val="00B63EC2"/>
    <w:rsid w:val="00B64A53"/>
    <w:rsid w:val="00B6774A"/>
    <w:rsid w:val="00B70C47"/>
    <w:rsid w:val="00B74861"/>
    <w:rsid w:val="00B7542A"/>
    <w:rsid w:val="00B75D5C"/>
    <w:rsid w:val="00B76641"/>
    <w:rsid w:val="00B77FA8"/>
    <w:rsid w:val="00B8014F"/>
    <w:rsid w:val="00B80C61"/>
    <w:rsid w:val="00B831C6"/>
    <w:rsid w:val="00B83423"/>
    <w:rsid w:val="00B85199"/>
    <w:rsid w:val="00B857F9"/>
    <w:rsid w:val="00B867C0"/>
    <w:rsid w:val="00B871C5"/>
    <w:rsid w:val="00B87867"/>
    <w:rsid w:val="00B87FE9"/>
    <w:rsid w:val="00B90FE8"/>
    <w:rsid w:val="00B91720"/>
    <w:rsid w:val="00B91AED"/>
    <w:rsid w:val="00B932BB"/>
    <w:rsid w:val="00B94983"/>
    <w:rsid w:val="00B958E2"/>
    <w:rsid w:val="00BA0AC7"/>
    <w:rsid w:val="00BA125B"/>
    <w:rsid w:val="00BA2523"/>
    <w:rsid w:val="00BA30B0"/>
    <w:rsid w:val="00BA3F31"/>
    <w:rsid w:val="00BA5BFF"/>
    <w:rsid w:val="00BB1388"/>
    <w:rsid w:val="00BB2AB7"/>
    <w:rsid w:val="00BB33F5"/>
    <w:rsid w:val="00BB5652"/>
    <w:rsid w:val="00BB6386"/>
    <w:rsid w:val="00BB7275"/>
    <w:rsid w:val="00BC0805"/>
    <w:rsid w:val="00BC4A9C"/>
    <w:rsid w:val="00BC5458"/>
    <w:rsid w:val="00BC5B1E"/>
    <w:rsid w:val="00BC7300"/>
    <w:rsid w:val="00BD0A0D"/>
    <w:rsid w:val="00BD2E14"/>
    <w:rsid w:val="00BD4209"/>
    <w:rsid w:val="00BD6393"/>
    <w:rsid w:val="00BD67BB"/>
    <w:rsid w:val="00BE038D"/>
    <w:rsid w:val="00BE2056"/>
    <w:rsid w:val="00BE383F"/>
    <w:rsid w:val="00BE4957"/>
    <w:rsid w:val="00BE4EE2"/>
    <w:rsid w:val="00BF0F43"/>
    <w:rsid w:val="00BF3D3F"/>
    <w:rsid w:val="00BF3FFA"/>
    <w:rsid w:val="00BF52FA"/>
    <w:rsid w:val="00BF5577"/>
    <w:rsid w:val="00BF6DA0"/>
    <w:rsid w:val="00C00D1E"/>
    <w:rsid w:val="00C01208"/>
    <w:rsid w:val="00C01285"/>
    <w:rsid w:val="00C0174B"/>
    <w:rsid w:val="00C02984"/>
    <w:rsid w:val="00C02BBF"/>
    <w:rsid w:val="00C0390B"/>
    <w:rsid w:val="00C04036"/>
    <w:rsid w:val="00C064F7"/>
    <w:rsid w:val="00C07024"/>
    <w:rsid w:val="00C07BBB"/>
    <w:rsid w:val="00C1090F"/>
    <w:rsid w:val="00C11FFA"/>
    <w:rsid w:val="00C1303D"/>
    <w:rsid w:val="00C14504"/>
    <w:rsid w:val="00C149DC"/>
    <w:rsid w:val="00C1598D"/>
    <w:rsid w:val="00C16415"/>
    <w:rsid w:val="00C17ED2"/>
    <w:rsid w:val="00C17F98"/>
    <w:rsid w:val="00C201F7"/>
    <w:rsid w:val="00C20A5F"/>
    <w:rsid w:val="00C2155B"/>
    <w:rsid w:val="00C21601"/>
    <w:rsid w:val="00C22FE0"/>
    <w:rsid w:val="00C247ED"/>
    <w:rsid w:val="00C25A30"/>
    <w:rsid w:val="00C27A27"/>
    <w:rsid w:val="00C27F8C"/>
    <w:rsid w:val="00C30560"/>
    <w:rsid w:val="00C31F61"/>
    <w:rsid w:val="00C324D4"/>
    <w:rsid w:val="00C332E8"/>
    <w:rsid w:val="00C3466C"/>
    <w:rsid w:val="00C34DEE"/>
    <w:rsid w:val="00C353AD"/>
    <w:rsid w:val="00C35C25"/>
    <w:rsid w:val="00C35E66"/>
    <w:rsid w:val="00C3633B"/>
    <w:rsid w:val="00C369C3"/>
    <w:rsid w:val="00C36E8F"/>
    <w:rsid w:val="00C375C4"/>
    <w:rsid w:val="00C407E2"/>
    <w:rsid w:val="00C40C81"/>
    <w:rsid w:val="00C40DC8"/>
    <w:rsid w:val="00C418BD"/>
    <w:rsid w:val="00C450F4"/>
    <w:rsid w:val="00C45802"/>
    <w:rsid w:val="00C459F5"/>
    <w:rsid w:val="00C5000B"/>
    <w:rsid w:val="00C50B13"/>
    <w:rsid w:val="00C51E39"/>
    <w:rsid w:val="00C5312E"/>
    <w:rsid w:val="00C53897"/>
    <w:rsid w:val="00C55890"/>
    <w:rsid w:val="00C5726B"/>
    <w:rsid w:val="00C606B2"/>
    <w:rsid w:val="00C62C1F"/>
    <w:rsid w:val="00C6726F"/>
    <w:rsid w:val="00C67D6A"/>
    <w:rsid w:val="00C73011"/>
    <w:rsid w:val="00C73052"/>
    <w:rsid w:val="00C753BD"/>
    <w:rsid w:val="00C75408"/>
    <w:rsid w:val="00C771B3"/>
    <w:rsid w:val="00C80F41"/>
    <w:rsid w:val="00C81028"/>
    <w:rsid w:val="00C82710"/>
    <w:rsid w:val="00C8285F"/>
    <w:rsid w:val="00C8411B"/>
    <w:rsid w:val="00C85BDC"/>
    <w:rsid w:val="00C860BC"/>
    <w:rsid w:val="00C866ED"/>
    <w:rsid w:val="00C86793"/>
    <w:rsid w:val="00C93563"/>
    <w:rsid w:val="00C93A47"/>
    <w:rsid w:val="00C940DD"/>
    <w:rsid w:val="00C9423A"/>
    <w:rsid w:val="00C94A04"/>
    <w:rsid w:val="00CA0A93"/>
    <w:rsid w:val="00CA128A"/>
    <w:rsid w:val="00CA21AD"/>
    <w:rsid w:val="00CA519B"/>
    <w:rsid w:val="00CA5E7B"/>
    <w:rsid w:val="00CA6419"/>
    <w:rsid w:val="00CA693D"/>
    <w:rsid w:val="00CB0812"/>
    <w:rsid w:val="00CB13A7"/>
    <w:rsid w:val="00CB1438"/>
    <w:rsid w:val="00CB15D5"/>
    <w:rsid w:val="00CB3B21"/>
    <w:rsid w:val="00CB3ED9"/>
    <w:rsid w:val="00CB43E5"/>
    <w:rsid w:val="00CB519C"/>
    <w:rsid w:val="00CB6F3E"/>
    <w:rsid w:val="00CC023C"/>
    <w:rsid w:val="00CC0F03"/>
    <w:rsid w:val="00CC15DC"/>
    <w:rsid w:val="00CC2F7F"/>
    <w:rsid w:val="00CC3959"/>
    <w:rsid w:val="00CC444A"/>
    <w:rsid w:val="00CC4A06"/>
    <w:rsid w:val="00CC4BA1"/>
    <w:rsid w:val="00CC4F4B"/>
    <w:rsid w:val="00CC755A"/>
    <w:rsid w:val="00CC79F1"/>
    <w:rsid w:val="00CD0B35"/>
    <w:rsid w:val="00CD0D9A"/>
    <w:rsid w:val="00CD25CA"/>
    <w:rsid w:val="00CD4878"/>
    <w:rsid w:val="00CD4DF5"/>
    <w:rsid w:val="00CD5931"/>
    <w:rsid w:val="00CD674F"/>
    <w:rsid w:val="00CE0EE0"/>
    <w:rsid w:val="00CE19F3"/>
    <w:rsid w:val="00CE3EA1"/>
    <w:rsid w:val="00CE5588"/>
    <w:rsid w:val="00CE6E50"/>
    <w:rsid w:val="00CE70FF"/>
    <w:rsid w:val="00CF10C2"/>
    <w:rsid w:val="00CF3930"/>
    <w:rsid w:val="00CF3B18"/>
    <w:rsid w:val="00CF3BEA"/>
    <w:rsid w:val="00CF4A25"/>
    <w:rsid w:val="00CF4F53"/>
    <w:rsid w:val="00D008B9"/>
    <w:rsid w:val="00D009AB"/>
    <w:rsid w:val="00D02332"/>
    <w:rsid w:val="00D056CF"/>
    <w:rsid w:val="00D07A65"/>
    <w:rsid w:val="00D07FD4"/>
    <w:rsid w:val="00D110A8"/>
    <w:rsid w:val="00D1166D"/>
    <w:rsid w:val="00D12690"/>
    <w:rsid w:val="00D12A4D"/>
    <w:rsid w:val="00D13207"/>
    <w:rsid w:val="00D14C01"/>
    <w:rsid w:val="00D14F59"/>
    <w:rsid w:val="00D15796"/>
    <w:rsid w:val="00D204E6"/>
    <w:rsid w:val="00D206E4"/>
    <w:rsid w:val="00D21304"/>
    <w:rsid w:val="00D2783D"/>
    <w:rsid w:val="00D31FFE"/>
    <w:rsid w:val="00D32B68"/>
    <w:rsid w:val="00D3311F"/>
    <w:rsid w:val="00D344EC"/>
    <w:rsid w:val="00D345E2"/>
    <w:rsid w:val="00D35A2D"/>
    <w:rsid w:val="00D363C7"/>
    <w:rsid w:val="00D374E6"/>
    <w:rsid w:val="00D42F49"/>
    <w:rsid w:val="00D440A5"/>
    <w:rsid w:val="00D455FE"/>
    <w:rsid w:val="00D46276"/>
    <w:rsid w:val="00D46707"/>
    <w:rsid w:val="00D47D3C"/>
    <w:rsid w:val="00D47D85"/>
    <w:rsid w:val="00D5171E"/>
    <w:rsid w:val="00D52868"/>
    <w:rsid w:val="00D54665"/>
    <w:rsid w:val="00D54DFA"/>
    <w:rsid w:val="00D550B9"/>
    <w:rsid w:val="00D551A4"/>
    <w:rsid w:val="00D556F3"/>
    <w:rsid w:val="00D60A49"/>
    <w:rsid w:val="00D62A36"/>
    <w:rsid w:val="00D63183"/>
    <w:rsid w:val="00D675A7"/>
    <w:rsid w:val="00D72D97"/>
    <w:rsid w:val="00D732F1"/>
    <w:rsid w:val="00D734C6"/>
    <w:rsid w:val="00D73C81"/>
    <w:rsid w:val="00D7459F"/>
    <w:rsid w:val="00D7471F"/>
    <w:rsid w:val="00D767D2"/>
    <w:rsid w:val="00D80804"/>
    <w:rsid w:val="00D814CA"/>
    <w:rsid w:val="00D82572"/>
    <w:rsid w:val="00D847F5"/>
    <w:rsid w:val="00D86370"/>
    <w:rsid w:val="00D8741A"/>
    <w:rsid w:val="00D9132F"/>
    <w:rsid w:val="00D915FE"/>
    <w:rsid w:val="00D91846"/>
    <w:rsid w:val="00D91DD5"/>
    <w:rsid w:val="00D941B3"/>
    <w:rsid w:val="00D94F14"/>
    <w:rsid w:val="00D969FE"/>
    <w:rsid w:val="00DA0555"/>
    <w:rsid w:val="00DA0932"/>
    <w:rsid w:val="00DA3519"/>
    <w:rsid w:val="00DA373A"/>
    <w:rsid w:val="00DA4358"/>
    <w:rsid w:val="00DA6948"/>
    <w:rsid w:val="00DA77DD"/>
    <w:rsid w:val="00DB1F8B"/>
    <w:rsid w:val="00DB2342"/>
    <w:rsid w:val="00DB275C"/>
    <w:rsid w:val="00DB302B"/>
    <w:rsid w:val="00DB4C78"/>
    <w:rsid w:val="00DB66EA"/>
    <w:rsid w:val="00DB7596"/>
    <w:rsid w:val="00DC0BE5"/>
    <w:rsid w:val="00DC10A3"/>
    <w:rsid w:val="00DC15E7"/>
    <w:rsid w:val="00DC3BAC"/>
    <w:rsid w:val="00DC4175"/>
    <w:rsid w:val="00DC4666"/>
    <w:rsid w:val="00DC4963"/>
    <w:rsid w:val="00DC4F54"/>
    <w:rsid w:val="00DC570A"/>
    <w:rsid w:val="00DC6B89"/>
    <w:rsid w:val="00DD051F"/>
    <w:rsid w:val="00DD180F"/>
    <w:rsid w:val="00DD22CF"/>
    <w:rsid w:val="00DD5082"/>
    <w:rsid w:val="00DD50E4"/>
    <w:rsid w:val="00DD6999"/>
    <w:rsid w:val="00DD7390"/>
    <w:rsid w:val="00DD7FAA"/>
    <w:rsid w:val="00DE13BE"/>
    <w:rsid w:val="00DE400B"/>
    <w:rsid w:val="00DE57CB"/>
    <w:rsid w:val="00DE5BFD"/>
    <w:rsid w:val="00DE5EB9"/>
    <w:rsid w:val="00DE6124"/>
    <w:rsid w:val="00DF035B"/>
    <w:rsid w:val="00DF0529"/>
    <w:rsid w:val="00DF0FF0"/>
    <w:rsid w:val="00DF1EEA"/>
    <w:rsid w:val="00DF441C"/>
    <w:rsid w:val="00DF47FC"/>
    <w:rsid w:val="00DF51BA"/>
    <w:rsid w:val="00DF6C5C"/>
    <w:rsid w:val="00E00997"/>
    <w:rsid w:val="00E01A32"/>
    <w:rsid w:val="00E01F70"/>
    <w:rsid w:val="00E0289A"/>
    <w:rsid w:val="00E04303"/>
    <w:rsid w:val="00E0433B"/>
    <w:rsid w:val="00E04643"/>
    <w:rsid w:val="00E047E5"/>
    <w:rsid w:val="00E05CD5"/>
    <w:rsid w:val="00E0688B"/>
    <w:rsid w:val="00E06933"/>
    <w:rsid w:val="00E076C6"/>
    <w:rsid w:val="00E07F09"/>
    <w:rsid w:val="00E1204C"/>
    <w:rsid w:val="00E125AD"/>
    <w:rsid w:val="00E1435D"/>
    <w:rsid w:val="00E14FA2"/>
    <w:rsid w:val="00E15451"/>
    <w:rsid w:val="00E16243"/>
    <w:rsid w:val="00E16739"/>
    <w:rsid w:val="00E17234"/>
    <w:rsid w:val="00E21314"/>
    <w:rsid w:val="00E21508"/>
    <w:rsid w:val="00E21E1B"/>
    <w:rsid w:val="00E23CD1"/>
    <w:rsid w:val="00E23FAA"/>
    <w:rsid w:val="00E2470E"/>
    <w:rsid w:val="00E25477"/>
    <w:rsid w:val="00E25B30"/>
    <w:rsid w:val="00E262CC"/>
    <w:rsid w:val="00E263EB"/>
    <w:rsid w:val="00E2662A"/>
    <w:rsid w:val="00E275D2"/>
    <w:rsid w:val="00E27C37"/>
    <w:rsid w:val="00E341F6"/>
    <w:rsid w:val="00E35944"/>
    <w:rsid w:val="00E35EF2"/>
    <w:rsid w:val="00E360DB"/>
    <w:rsid w:val="00E366F9"/>
    <w:rsid w:val="00E37245"/>
    <w:rsid w:val="00E37F63"/>
    <w:rsid w:val="00E418F8"/>
    <w:rsid w:val="00E424BB"/>
    <w:rsid w:val="00E4284B"/>
    <w:rsid w:val="00E43CA2"/>
    <w:rsid w:val="00E45F7B"/>
    <w:rsid w:val="00E51DE6"/>
    <w:rsid w:val="00E52378"/>
    <w:rsid w:val="00E527D4"/>
    <w:rsid w:val="00E52FEF"/>
    <w:rsid w:val="00E5300C"/>
    <w:rsid w:val="00E54F6C"/>
    <w:rsid w:val="00E56E75"/>
    <w:rsid w:val="00E5708D"/>
    <w:rsid w:val="00E60A0B"/>
    <w:rsid w:val="00E61DD7"/>
    <w:rsid w:val="00E62BF2"/>
    <w:rsid w:val="00E62F61"/>
    <w:rsid w:val="00E65DA9"/>
    <w:rsid w:val="00E661F5"/>
    <w:rsid w:val="00E6655E"/>
    <w:rsid w:val="00E6698D"/>
    <w:rsid w:val="00E6724F"/>
    <w:rsid w:val="00E67D80"/>
    <w:rsid w:val="00E70F9A"/>
    <w:rsid w:val="00E72EFA"/>
    <w:rsid w:val="00E73462"/>
    <w:rsid w:val="00E73604"/>
    <w:rsid w:val="00E744D7"/>
    <w:rsid w:val="00E75217"/>
    <w:rsid w:val="00E765EF"/>
    <w:rsid w:val="00E76AB2"/>
    <w:rsid w:val="00E77FA1"/>
    <w:rsid w:val="00E82089"/>
    <w:rsid w:val="00E82853"/>
    <w:rsid w:val="00E82EDF"/>
    <w:rsid w:val="00E83091"/>
    <w:rsid w:val="00E8400A"/>
    <w:rsid w:val="00E8418C"/>
    <w:rsid w:val="00E865EC"/>
    <w:rsid w:val="00E86E5F"/>
    <w:rsid w:val="00E91986"/>
    <w:rsid w:val="00E9269D"/>
    <w:rsid w:val="00E9403D"/>
    <w:rsid w:val="00E94F41"/>
    <w:rsid w:val="00E95569"/>
    <w:rsid w:val="00E963CA"/>
    <w:rsid w:val="00EA21C1"/>
    <w:rsid w:val="00EA47F6"/>
    <w:rsid w:val="00EA55A0"/>
    <w:rsid w:val="00EA5B7C"/>
    <w:rsid w:val="00EA6086"/>
    <w:rsid w:val="00EB1EC1"/>
    <w:rsid w:val="00EB20FE"/>
    <w:rsid w:val="00EB2AD3"/>
    <w:rsid w:val="00EB3DEE"/>
    <w:rsid w:val="00EB555F"/>
    <w:rsid w:val="00EB78FA"/>
    <w:rsid w:val="00EC1D69"/>
    <w:rsid w:val="00EC3B18"/>
    <w:rsid w:val="00EC58D9"/>
    <w:rsid w:val="00EC5EDC"/>
    <w:rsid w:val="00EC60E1"/>
    <w:rsid w:val="00ED026C"/>
    <w:rsid w:val="00ED05F1"/>
    <w:rsid w:val="00ED0B7D"/>
    <w:rsid w:val="00ED1D51"/>
    <w:rsid w:val="00ED25F5"/>
    <w:rsid w:val="00ED5D05"/>
    <w:rsid w:val="00ED7178"/>
    <w:rsid w:val="00EE10DB"/>
    <w:rsid w:val="00EE205B"/>
    <w:rsid w:val="00EE23FB"/>
    <w:rsid w:val="00EE347D"/>
    <w:rsid w:val="00EE527D"/>
    <w:rsid w:val="00EE5349"/>
    <w:rsid w:val="00EE584D"/>
    <w:rsid w:val="00EE6FC9"/>
    <w:rsid w:val="00EF0588"/>
    <w:rsid w:val="00EF2257"/>
    <w:rsid w:val="00EF2760"/>
    <w:rsid w:val="00EF4E1C"/>
    <w:rsid w:val="00EF5166"/>
    <w:rsid w:val="00EF70A2"/>
    <w:rsid w:val="00F0207B"/>
    <w:rsid w:val="00F03737"/>
    <w:rsid w:val="00F048D0"/>
    <w:rsid w:val="00F07F0B"/>
    <w:rsid w:val="00F10B95"/>
    <w:rsid w:val="00F10D2B"/>
    <w:rsid w:val="00F110CB"/>
    <w:rsid w:val="00F11563"/>
    <w:rsid w:val="00F11820"/>
    <w:rsid w:val="00F11B21"/>
    <w:rsid w:val="00F12072"/>
    <w:rsid w:val="00F12161"/>
    <w:rsid w:val="00F12393"/>
    <w:rsid w:val="00F13E4E"/>
    <w:rsid w:val="00F14454"/>
    <w:rsid w:val="00F1480D"/>
    <w:rsid w:val="00F156A0"/>
    <w:rsid w:val="00F1748A"/>
    <w:rsid w:val="00F176E3"/>
    <w:rsid w:val="00F17E86"/>
    <w:rsid w:val="00F200DE"/>
    <w:rsid w:val="00F23713"/>
    <w:rsid w:val="00F2408A"/>
    <w:rsid w:val="00F24FF1"/>
    <w:rsid w:val="00F2527A"/>
    <w:rsid w:val="00F25480"/>
    <w:rsid w:val="00F27C14"/>
    <w:rsid w:val="00F30C4D"/>
    <w:rsid w:val="00F324C2"/>
    <w:rsid w:val="00F33880"/>
    <w:rsid w:val="00F34984"/>
    <w:rsid w:val="00F362C6"/>
    <w:rsid w:val="00F3648E"/>
    <w:rsid w:val="00F408AA"/>
    <w:rsid w:val="00F41731"/>
    <w:rsid w:val="00F46AE3"/>
    <w:rsid w:val="00F472A4"/>
    <w:rsid w:val="00F51E1D"/>
    <w:rsid w:val="00F5331D"/>
    <w:rsid w:val="00F54B57"/>
    <w:rsid w:val="00F56236"/>
    <w:rsid w:val="00F563AC"/>
    <w:rsid w:val="00F577D5"/>
    <w:rsid w:val="00F6015C"/>
    <w:rsid w:val="00F60A26"/>
    <w:rsid w:val="00F631DE"/>
    <w:rsid w:val="00F63C58"/>
    <w:rsid w:val="00F65F02"/>
    <w:rsid w:val="00F673A6"/>
    <w:rsid w:val="00F7571B"/>
    <w:rsid w:val="00F77674"/>
    <w:rsid w:val="00F807C4"/>
    <w:rsid w:val="00F82FCF"/>
    <w:rsid w:val="00F85DCB"/>
    <w:rsid w:val="00F864A9"/>
    <w:rsid w:val="00F9508E"/>
    <w:rsid w:val="00F95106"/>
    <w:rsid w:val="00F9611B"/>
    <w:rsid w:val="00F97411"/>
    <w:rsid w:val="00FA0593"/>
    <w:rsid w:val="00FA13D2"/>
    <w:rsid w:val="00FA2A29"/>
    <w:rsid w:val="00FA3817"/>
    <w:rsid w:val="00FA4637"/>
    <w:rsid w:val="00FA64D3"/>
    <w:rsid w:val="00FA69F6"/>
    <w:rsid w:val="00FB148F"/>
    <w:rsid w:val="00FB1FDE"/>
    <w:rsid w:val="00FB2AFD"/>
    <w:rsid w:val="00FB66BF"/>
    <w:rsid w:val="00FC089B"/>
    <w:rsid w:val="00FC23D6"/>
    <w:rsid w:val="00FC287D"/>
    <w:rsid w:val="00FC3401"/>
    <w:rsid w:val="00FC37A8"/>
    <w:rsid w:val="00FC4136"/>
    <w:rsid w:val="00FC4188"/>
    <w:rsid w:val="00FC4543"/>
    <w:rsid w:val="00FC4F2F"/>
    <w:rsid w:val="00FC5705"/>
    <w:rsid w:val="00FC6941"/>
    <w:rsid w:val="00FC6C91"/>
    <w:rsid w:val="00FC6CEF"/>
    <w:rsid w:val="00FC7811"/>
    <w:rsid w:val="00FD024A"/>
    <w:rsid w:val="00FD3EF4"/>
    <w:rsid w:val="00FD7815"/>
    <w:rsid w:val="00FD790D"/>
    <w:rsid w:val="00FE165B"/>
    <w:rsid w:val="00FE210E"/>
    <w:rsid w:val="00FE23B0"/>
    <w:rsid w:val="00FE245F"/>
    <w:rsid w:val="00FE46F7"/>
    <w:rsid w:val="00FE4889"/>
    <w:rsid w:val="00FE5A22"/>
    <w:rsid w:val="00FE6C47"/>
    <w:rsid w:val="00FF1CF4"/>
    <w:rsid w:val="00FF333E"/>
    <w:rsid w:val="00FF4200"/>
    <w:rsid w:val="00FF4860"/>
    <w:rsid w:val="00FF695D"/>
    <w:rsid w:val="00FF6B1D"/>
    <w:rsid w:val="00FF7C77"/>
    <w:rsid w:val="01645141"/>
    <w:rsid w:val="027A8228"/>
    <w:rsid w:val="0A70562C"/>
    <w:rsid w:val="0C4D91CC"/>
    <w:rsid w:val="0F7F167A"/>
    <w:rsid w:val="149F5899"/>
    <w:rsid w:val="1DD29F2C"/>
    <w:rsid w:val="36C11A64"/>
    <w:rsid w:val="4778BFD7"/>
    <w:rsid w:val="56872350"/>
    <w:rsid w:val="56AAA0B0"/>
    <w:rsid w:val="5B569C55"/>
    <w:rsid w:val="5E8BA970"/>
    <w:rsid w:val="5FBCE107"/>
    <w:rsid w:val="6123B167"/>
    <w:rsid w:val="63B5B069"/>
    <w:rsid w:val="69DCD562"/>
    <w:rsid w:val="6EADA847"/>
    <w:rsid w:val="749CEF3E"/>
    <w:rsid w:val="7529DD0C"/>
    <w:rsid w:val="75EBA954"/>
    <w:rsid w:val="78617DCE"/>
    <w:rsid w:val="79B2EE41"/>
    <w:rsid w:val="79DB728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671]">
      <v:fill color="white"/>
      <v:stroke color="none [671]"/>
    </o:shapedefaults>
    <o:shapelayout v:ext="edit">
      <o:idmap v:ext="edit" data="2"/>
    </o:shapelayout>
  </w:shapeDefaults>
  <w:decimalSymbol w:val="."/>
  <w:listSeparator w:val=","/>
  <w14:docId w14:val="57B35FE6"/>
  <w15:chartTrackingRefBased/>
  <w15:docId w15:val="{AFF3FB44-56D0-4A70-8567-095BDB57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720"/>
    <w:pPr>
      <w:tabs>
        <w:tab w:val="left" w:pos="567"/>
        <w:tab w:val="left" w:pos="1134"/>
        <w:tab w:val="left" w:pos="1701"/>
        <w:tab w:val="left" w:pos="2268"/>
      </w:tabs>
      <w:spacing w:after="120"/>
      <w:jc w:val="both"/>
    </w:pPr>
    <w:rPr>
      <w:rFonts w:ascii="Calibri" w:hAnsi="Calibri"/>
      <w:sz w:val="22"/>
      <w:lang w:val="en-GB" w:eastAsia="en-GB"/>
    </w:rPr>
  </w:style>
  <w:style w:type="paragraph" w:styleId="Heading1">
    <w:name w:val="heading 1"/>
    <w:basedOn w:val="Normal"/>
    <w:next w:val="Normal"/>
    <w:qFormat/>
    <w:rsid w:val="001C5814"/>
    <w:pPr>
      <w:keepNext/>
      <w:tabs>
        <w:tab w:val="clear" w:pos="567"/>
        <w:tab w:val="clear" w:pos="1134"/>
        <w:tab w:val="clear" w:pos="1701"/>
        <w:tab w:val="clear" w:pos="2268"/>
      </w:tabs>
      <w:spacing w:before="240" w:line="276" w:lineRule="auto"/>
      <w:outlineLvl w:val="0"/>
    </w:pPr>
    <w:rPr>
      <w:kern w:val="32"/>
      <w:sz w:val="40"/>
    </w:rPr>
  </w:style>
  <w:style w:type="paragraph" w:styleId="Heading2">
    <w:name w:val="heading 2"/>
    <w:basedOn w:val="Normal"/>
    <w:next w:val="Normal"/>
    <w:link w:val="Heading2Char"/>
    <w:qFormat/>
    <w:rsid w:val="001C5814"/>
    <w:pPr>
      <w:keepNext/>
      <w:tabs>
        <w:tab w:val="clear" w:pos="567"/>
        <w:tab w:val="clear" w:pos="1134"/>
        <w:tab w:val="clear" w:pos="1701"/>
        <w:tab w:val="clear" w:pos="2268"/>
      </w:tabs>
      <w:spacing w:before="240" w:line="276" w:lineRule="auto"/>
      <w:outlineLvl w:val="1"/>
    </w:pPr>
    <w:rPr>
      <w:sz w:val="28"/>
    </w:rPr>
  </w:style>
  <w:style w:type="paragraph" w:styleId="Heading3">
    <w:name w:val="heading 3"/>
    <w:basedOn w:val="Heading2"/>
    <w:next w:val="Normal"/>
    <w:qFormat/>
    <w:pPr>
      <w:outlineLvl w:val="2"/>
    </w:pPr>
    <w:rPr>
      <w:i/>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after="60"/>
      <w:jc w:val="center"/>
      <w:outlineLvl w:val="5"/>
    </w:pPr>
    <w:rPr>
      <w:rFonts w:ascii="Times New Roman Bold" w:hAnsi="Times New Roman Bold"/>
      <w:b/>
      <w:sz w:val="28"/>
    </w:rPr>
  </w:style>
  <w:style w:type="paragraph" w:styleId="Heading7">
    <w:name w:val="heading 7"/>
    <w:basedOn w:val="Normal"/>
    <w:next w:val="Normal"/>
    <w:qFormat/>
    <w:pPr>
      <w:keepNext/>
      <w:ind w:left="547"/>
      <w:outlineLvl w:val="6"/>
    </w:pPr>
    <w:rPr>
      <w:u w:val="single"/>
    </w:rPr>
  </w:style>
  <w:style w:type="paragraph" w:styleId="Heading8">
    <w:name w:val="heading 8"/>
    <w:basedOn w:val="Normal"/>
    <w:next w:val="Normal"/>
    <w:qFormat/>
    <w:pPr>
      <w:keepNext/>
      <w:spacing w:before="360" w:after="360"/>
      <w:jc w:val="center"/>
      <w:outlineLvl w:val="7"/>
    </w:pPr>
    <w:rPr>
      <w:b/>
      <w:sz w:val="28"/>
    </w:rPr>
  </w:style>
  <w:style w:type="paragraph" w:styleId="Heading9">
    <w:name w:val="heading 9"/>
    <w:basedOn w:val="Normal"/>
    <w:next w:val="Normal"/>
    <w:qFormat/>
    <w:pPr>
      <w:keepNext/>
      <w:ind w:left="1134" w:hanging="567"/>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pPr>
  </w:style>
  <w:style w:type="paragraph" w:styleId="Footer">
    <w:name w:val="footer"/>
    <w:aliases w:val="Footer1"/>
    <w:basedOn w:val="Normal"/>
    <w:link w:val="FooterChar"/>
    <w:pPr>
      <w:tabs>
        <w:tab w:val="left" w:pos="2552"/>
        <w:tab w:val="center" w:pos="3969"/>
        <w:tab w:val="center" w:pos="4536"/>
        <w:tab w:val="center" w:pos="5103"/>
        <w:tab w:val="left" w:pos="5670"/>
        <w:tab w:val="left" w:pos="6237"/>
        <w:tab w:val="left" w:pos="6804"/>
        <w:tab w:val="left" w:pos="7371"/>
        <w:tab w:val="left" w:pos="7938"/>
      </w:tabs>
      <w:spacing w:after="0"/>
    </w:pPr>
    <w:rPr>
      <w:sz w:val="20"/>
    </w:rPr>
  </w:style>
  <w:style w:type="character" w:customStyle="1" w:styleId="FootnoteReference1">
    <w:name w:val="Footnote Reference1"/>
    <w:rPr>
      <w:rFonts w:ascii="Times New Roman" w:hAnsi="Times New Roman"/>
      <w:dstrike w:val="0"/>
      <w:vertAlign w:val="superscript"/>
    </w:rPr>
  </w:style>
  <w:style w:type="paragraph" w:styleId="FootnoteText">
    <w:name w:val="footnote text"/>
    <w:aliases w:val="Ftnote Txt 11ptG,Geneva 9,Font: Geneva 9,Boston 10,f,ft,Fotnotstext Char,ft Char,single space,footnote text,FOOTNOTES,ADB,single space1,footnote text1,FOOTNOTES1,fn1,ADB1,single space2,footnote text2,FOOTNOTES2,fn2,ADB2,single space3,fn3"/>
    <w:basedOn w:val="Normal"/>
    <w:link w:val="FootnoteTextChar"/>
    <w:pPr>
      <w:ind w:left="567" w:hanging="567"/>
    </w:pPr>
    <w:rPr>
      <w:sz w:val="20"/>
    </w:rPr>
  </w:style>
  <w:style w:type="paragraph" w:customStyle="1" w:styleId="FootnoteText1">
    <w:name w:val="Footnote Text1"/>
    <w:basedOn w:val="Normal"/>
    <w:pPr>
      <w:ind w:left="567" w:hanging="567"/>
    </w:pPr>
    <w:rPr>
      <w:sz w:val="18"/>
      <w:szCs w:val="18"/>
    </w:rPr>
  </w:style>
  <w:style w:type="paragraph" w:styleId="Header">
    <w:name w:val="header"/>
    <w:basedOn w:val="Normal"/>
    <w:link w:val="HeaderChar"/>
    <w:uiPriority w:val="99"/>
    <w:pPr>
      <w:tabs>
        <w:tab w:val="center" w:pos="4153"/>
        <w:tab w:val="right" w:pos="8306"/>
      </w:tabs>
    </w:pPr>
  </w:style>
  <w:style w:type="paragraph" w:customStyle="1" w:styleId="Indenta">
    <w:name w:val="Indent a"/>
    <w:basedOn w:val="Normal"/>
    <w:pPr>
      <w:ind w:left="1134" w:hanging="567"/>
    </w:pPr>
  </w:style>
  <w:style w:type="paragraph" w:customStyle="1" w:styleId="Indenti">
    <w:name w:val="Indent i"/>
    <w:basedOn w:val="Normal"/>
    <w:pPr>
      <w:ind w:left="1701" w:hanging="567"/>
    </w:pPr>
  </w:style>
  <w:style w:type="paragraph" w:customStyle="1" w:styleId="Indentnono">
    <w:name w:val="Indent no no"/>
    <w:basedOn w:val="Normal"/>
    <w:pPr>
      <w:ind w:left="567"/>
    </w:pPr>
  </w:style>
  <w:style w:type="paragraph" w:customStyle="1" w:styleId="Indentnonodouble">
    <w:name w:val="Indent no no (double)"/>
    <w:basedOn w:val="Indentnono"/>
    <w:pPr>
      <w:ind w:left="1134"/>
    </w:pPr>
  </w:style>
  <w:style w:type="character" w:styleId="PageNumber">
    <w:name w:val="page number"/>
    <w:basedOn w:val="DefaultParagraphFont"/>
  </w:style>
  <w:style w:type="character" w:styleId="FootnoteReference">
    <w:name w:val="footnote reference"/>
    <w:aliases w:val="stylish,number,Footnote Reference Superscript,-E Fußnotenzeichen,(Diplomarbeit FZ),(Diplomarbeit FZ)1,(Diplomarbeit FZ)2,(Diplomarbeit FZ)3,(Diplomarbeit FZ)4,(Diplomarbeit FZ)5,(Diplomarbeit FZ)6,(Diplomarbeit FZ)7,(Diplomarbeit FZ)8"/>
    <w:qFormat/>
    <w:rsid w:val="00AE51C5"/>
    <w:rPr>
      <w:vertAlign w:val="superscript"/>
    </w:rPr>
  </w:style>
  <w:style w:type="paragraph" w:styleId="BalloonText">
    <w:name w:val="Balloon Text"/>
    <w:basedOn w:val="Normal"/>
    <w:semiHidden/>
    <w:rsid w:val="00A338D3"/>
    <w:rPr>
      <w:rFonts w:ascii="Tahoma" w:hAnsi="Tahoma" w:cs="Tahoma"/>
      <w:sz w:val="16"/>
      <w:szCs w:val="16"/>
    </w:rPr>
  </w:style>
  <w:style w:type="paragraph" w:styleId="DocumentMap">
    <w:name w:val="Document Map"/>
    <w:basedOn w:val="Normal"/>
    <w:semiHidden/>
    <w:rsid w:val="00D80804"/>
    <w:pPr>
      <w:shd w:val="clear" w:color="auto" w:fill="000080"/>
    </w:pPr>
    <w:rPr>
      <w:rFonts w:ascii="Tahoma" w:hAnsi="Tahoma" w:cs="Tahoma"/>
      <w:sz w:val="20"/>
    </w:rPr>
  </w:style>
  <w:style w:type="paragraph" w:customStyle="1" w:styleId="CharChar">
    <w:name w:val="Char Char"/>
    <w:basedOn w:val="Normal"/>
    <w:rsid w:val="009C457B"/>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
    <w:name w:val="Car Car"/>
    <w:basedOn w:val="Normal"/>
    <w:rsid w:val="00B91AED"/>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ZchnZchn1CharCharCarCar">
    <w:name w:val="Zchn Zchn1 Char Char Car Car"/>
    <w:basedOn w:val="Normal"/>
    <w:rsid w:val="00E77FA1"/>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1">
    <w:name w:val="Car Car1"/>
    <w:basedOn w:val="Normal"/>
    <w:rsid w:val="00FE23B0"/>
    <w:pPr>
      <w:tabs>
        <w:tab w:val="clear" w:pos="567"/>
        <w:tab w:val="clear" w:pos="1134"/>
        <w:tab w:val="clear" w:pos="1701"/>
        <w:tab w:val="clear" w:pos="2268"/>
      </w:tabs>
      <w:spacing w:after="160" w:line="240" w:lineRule="exact"/>
    </w:pPr>
    <w:rPr>
      <w:rFonts w:ascii="Tahoma" w:hAnsi="Tahoma"/>
      <w:sz w:val="20"/>
      <w:lang w:val="en-US" w:eastAsia="en-US"/>
    </w:rPr>
  </w:style>
  <w:style w:type="paragraph" w:styleId="BodyText">
    <w:name w:val="Body Text"/>
    <w:basedOn w:val="Normal"/>
    <w:link w:val="BodyTextChar"/>
    <w:rsid w:val="00FE23B0"/>
    <w:pPr>
      <w:numPr>
        <w:numId w:val="1"/>
      </w:numPr>
      <w:tabs>
        <w:tab w:val="clear" w:pos="567"/>
        <w:tab w:val="clear" w:pos="1134"/>
        <w:tab w:val="clear" w:pos="2268"/>
      </w:tabs>
      <w:spacing w:after="140" w:line="280" w:lineRule="atLeast"/>
    </w:pPr>
    <w:rPr>
      <w:rFonts w:ascii="Arial" w:hAnsi="Arial"/>
      <w:sz w:val="20"/>
    </w:rPr>
  </w:style>
  <w:style w:type="paragraph" w:styleId="Title">
    <w:name w:val="Title"/>
    <w:link w:val="TitleChar"/>
    <w:qFormat/>
    <w:rsid w:val="00FE23B0"/>
    <w:pPr>
      <w:spacing w:line="280" w:lineRule="atLeast"/>
      <w:outlineLvl w:val="0"/>
    </w:pPr>
    <w:rPr>
      <w:rFonts w:ascii="Arial" w:hAnsi="Arial"/>
      <w:noProof/>
      <w:kern w:val="28"/>
      <w:sz w:val="24"/>
      <w:lang w:val="en-GB" w:eastAsia="en-GB"/>
    </w:rPr>
  </w:style>
  <w:style w:type="paragraph" w:styleId="BodyText2">
    <w:name w:val="Body Text 2"/>
    <w:basedOn w:val="Normal"/>
    <w:rsid w:val="00C14504"/>
    <w:pPr>
      <w:tabs>
        <w:tab w:val="clear" w:pos="567"/>
        <w:tab w:val="clear" w:pos="1134"/>
        <w:tab w:val="clear" w:pos="1701"/>
        <w:tab w:val="clear" w:pos="2268"/>
        <w:tab w:val="left" w:pos="1418"/>
      </w:tabs>
      <w:spacing w:line="480" w:lineRule="auto"/>
    </w:pPr>
    <w:rPr>
      <w:rFonts w:ascii="Arial" w:hAnsi="Arial"/>
      <w:sz w:val="20"/>
    </w:rPr>
  </w:style>
  <w:style w:type="character" w:styleId="CommentReference">
    <w:name w:val="annotation reference"/>
    <w:uiPriority w:val="99"/>
    <w:rsid w:val="00973229"/>
    <w:rPr>
      <w:sz w:val="16"/>
      <w:szCs w:val="16"/>
    </w:rPr>
  </w:style>
  <w:style w:type="paragraph" w:styleId="CommentText">
    <w:name w:val="annotation text"/>
    <w:basedOn w:val="Normal"/>
    <w:link w:val="CommentTextChar"/>
    <w:rsid w:val="00973229"/>
    <w:rPr>
      <w:sz w:val="20"/>
    </w:rPr>
  </w:style>
  <w:style w:type="paragraph" w:styleId="CommentSubject">
    <w:name w:val="annotation subject"/>
    <w:basedOn w:val="CommentText"/>
    <w:next w:val="CommentText"/>
    <w:semiHidden/>
    <w:rsid w:val="00973229"/>
    <w:rPr>
      <w:b/>
      <w:bCs/>
    </w:rPr>
  </w:style>
  <w:style w:type="character" w:styleId="Hyperlink">
    <w:name w:val="Hyperlink"/>
    <w:rsid w:val="00FC4543"/>
    <w:rPr>
      <w:color w:val="0000FF"/>
      <w:u w:val="single"/>
    </w:rPr>
  </w:style>
  <w:style w:type="character" w:styleId="FollowedHyperlink">
    <w:name w:val="FollowedHyperlink"/>
    <w:rsid w:val="008C503B"/>
    <w:rPr>
      <w:color w:val="800080"/>
      <w:u w:val="single"/>
    </w:rPr>
  </w:style>
  <w:style w:type="paragraph" w:customStyle="1" w:styleId="MediumGrid3-Accent51">
    <w:name w:val="Medium Grid 3 - Accent 51"/>
    <w:hidden/>
    <w:uiPriority w:val="99"/>
    <w:semiHidden/>
    <w:rsid w:val="009242AB"/>
    <w:rPr>
      <w:sz w:val="22"/>
      <w:lang w:val="en-GB" w:eastAsia="en-GB"/>
    </w:rPr>
  </w:style>
  <w:style w:type="paragraph" w:styleId="NormalWeb">
    <w:name w:val="Normal (Web)"/>
    <w:basedOn w:val="Normal"/>
    <w:uiPriority w:val="99"/>
    <w:rsid w:val="002A2954"/>
    <w:pPr>
      <w:tabs>
        <w:tab w:val="clear" w:pos="567"/>
        <w:tab w:val="clear" w:pos="1134"/>
        <w:tab w:val="clear" w:pos="1701"/>
        <w:tab w:val="clear" w:pos="2268"/>
      </w:tabs>
      <w:spacing w:before="100" w:beforeAutospacing="1" w:after="100" w:afterAutospacing="1"/>
    </w:pPr>
    <w:rPr>
      <w:sz w:val="24"/>
      <w:szCs w:val="24"/>
    </w:rPr>
  </w:style>
  <w:style w:type="character" w:customStyle="1" w:styleId="A2">
    <w:name w:val="A2"/>
    <w:uiPriority w:val="99"/>
    <w:rsid w:val="005152BD"/>
    <w:rPr>
      <w:b/>
      <w:bCs/>
      <w:color w:val="000000"/>
      <w:sz w:val="20"/>
      <w:szCs w:val="20"/>
    </w:rPr>
  </w:style>
  <w:style w:type="table" w:styleId="TableGrid">
    <w:name w:val="Table Grid"/>
    <w:basedOn w:val="TableNormal"/>
    <w:uiPriority w:val="39"/>
    <w:rsid w:val="00E92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2">
    <w:name w:val="Zchn Zchn2"/>
    <w:basedOn w:val="Normal"/>
    <w:rsid w:val="00BA2523"/>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Default">
    <w:name w:val="Default"/>
    <w:rsid w:val="00D056CF"/>
    <w:pPr>
      <w:autoSpaceDE w:val="0"/>
      <w:autoSpaceDN w:val="0"/>
      <w:adjustRightInd w:val="0"/>
    </w:pPr>
    <w:rPr>
      <w:rFonts w:ascii="Microsoft PhagsPa" w:hAnsi="Microsoft PhagsPa" w:cs="Microsoft PhagsPa"/>
      <w:color w:val="000000"/>
      <w:sz w:val="24"/>
      <w:szCs w:val="24"/>
      <w:lang w:val="en-GB" w:eastAsia="en-GB"/>
    </w:rPr>
  </w:style>
  <w:style w:type="paragraph" w:customStyle="1" w:styleId="Pa1">
    <w:name w:val="Pa1"/>
    <w:basedOn w:val="Default"/>
    <w:next w:val="Default"/>
    <w:uiPriority w:val="99"/>
    <w:rsid w:val="00D056CF"/>
    <w:pPr>
      <w:spacing w:line="241" w:lineRule="atLeast"/>
    </w:pPr>
    <w:rPr>
      <w:rFonts w:cs="Times New Roman"/>
      <w:color w:val="auto"/>
    </w:rPr>
  </w:style>
  <w:style w:type="character" w:customStyle="1" w:styleId="A3">
    <w:name w:val="A3"/>
    <w:uiPriority w:val="99"/>
    <w:rsid w:val="00D056CF"/>
    <w:rPr>
      <w:rFonts w:cs="Microsoft PhagsPa"/>
      <w:color w:val="000000"/>
      <w:sz w:val="48"/>
      <w:szCs w:val="48"/>
    </w:rPr>
  </w:style>
  <w:style w:type="paragraph" w:customStyle="1" w:styleId="Char">
    <w:name w:val="Char"/>
    <w:basedOn w:val="Normal"/>
    <w:rsid w:val="00583051"/>
    <w:pPr>
      <w:tabs>
        <w:tab w:val="clear" w:pos="567"/>
        <w:tab w:val="clear" w:pos="1134"/>
        <w:tab w:val="clear" w:pos="1701"/>
        <w:tab w:val="clear" w:pos="2268"/>
      </w:tabs>
      <w:spacing w:after="160" w:line="240" w:lineRule="exact"/>
    </w:pPr>
    <w:rPr>
      <w:rFonts w:ascii="Tahoma" w:hAnsi="Tahoma"/>
      <w:sz w:val="20"/>
      <w:lang w:val="en-US" w:eastAsia="en-US"/>
    </w:rPr>
  </w:style>
  <w:style w:type="character" w:customStyle="1" w:styleId="Heading2Char">
    <w:name w:val="Heading 2 Char"/>
    <w:link w:val="Heading2"/>
    <w:rsid w:val="001C5814"/>
    <w:rPr>
      <w:rFonts w:ascii="Calibri" w:hAnsi="Calibri"/>
      <w:sz w:val="28"/>
    </w:rPr>
  </w:style>
  <w:style w:type="character" w:customStyle="1" w:styleId="BodyTextChar">
    <w:name w:val="Body Text Char"/>
    <w:link w:val="BodyText"/>
    <w:rsid w:val="000176BC"/>
    <w:rPr>
      <w:rFonts w:ascii="Arial" w:hAnsi="Arial"/>
      <w:lang w:val="en-GB" w:eastAsia="en-GB"/>
    </w:rPr>
  </w:style>
  <w:style w:type="character" w:customStyle="1" w:styleId="TitleChar">
    <w:name w:val="Title Char"/>
    <w:link w:val="Title"/>
    <w:rsid w:val="00F631DE"/>
    <w:rPr>
      <w:rFonts w:ascii="Arial" w:hAnsi="Arial"/>
      <w:noProof/>
      <w:kern w:val="28"/>
      <w:sz w:val="24"/>
    </w:rPr>
  </w:style>
  <w:style w:type="character" w:customStyle="1" w:styleId="FooterChar">
    <w:name w:val="Footer Char"/>
    <w:aliases w:val="Footer1 Char"/>
    <w:link w:val="Footer"/>
    <w:uiPriority w:val="99"/>
    <w:rsid w:val="00217183"/>
    <w:rPr>
      <w:rFonts w:ascii="Calibri" w:hAnsi="Calibri"/>
    </w:rPr>
  </w:style>
  <w:style w:type="character" w:customStyle="1" w:styleId="apple-converted-space">
    <w:name w:val="apple-converted-space"/>
    <w:rsid w:val="008F0838"/>
  </w:style>
  <w:style w:type="paragraph" w:customStyle="1" w:styleId="Sideheadingsmall">
    <w:name w:val="Side heading (small)"/>
    <w:basedOn w:val="Normal"/>
    <w:next w:val="Normal"/>
    <w:rsid w:val="00DF47FC"/>
    <w:pPr>
      <w:keepNext/>
      <w:spacing w:after="80"/>
      <w:jc w:val="left"/>
    </w:pPr>
    <w:rPr>
      <w:rFonts w:ascii="Times New Roman Bold" w:hAnsi="Times New Roman Bold"/>
      <w:b/>
      <w:bCs/>
      <w:i/>
      <w:iCs/>
      <w:sz w:val="20"/>
      <w:lang w:eastAsia="en-US"/>
    </w:rPr>
  </w:style>
  <w:style w:type="paragraph" w:customStyle="1" w:styleId="Titre2">
    <w:name w:val="Titre 2"/>
    <w:basedOn w:val="Normal"/>
    <w:link w:val="Titre2Car"/>
    <w:qFormat/>
    <w:rsid w:val="00543545"/>
    <w:pPr>
      <w:keepNext/>
      <w:tabs>
        <w:tab w:val="clear" w:pos="1134"/>
        <w:tab w:val="clear" w:pos="1701"/>
        <w:tab w:val="clear" w:pos="2268"/>
      </w:tabs>
      <w:spacing w:before="140" w:after="140" w:line="280" w:lineRule="atLeast"/>
      <w:jc w:val="left"/>
      <w:outlineLvl w:val="1"/>
    </w:pPr>
    <w:rPr>
      <w:rFonts w:ascii="Arial" w:eastAsia="Microsoft YaHei" w:hAnsi="Arial" w:cs="Mangal"/>
      <w:color w:val="00000A"/>
      <w:sz w:val="28"/>
      <w:szCs w:val="28"/>
      <w:lang w:val="en-US" w:eastAsia="en-US"/>
    </w:rPr>
  </w:style>
  <w:style w:type="character" w:customStyle="1" w:styleId="Titre2Car">
    <w:name w:val="Titre 2 Car"/>
    <w:link w:val="Titre2"/>
    <w:qFormat/>
    <w:rsid w:val="00543545"/>
    <w:rPr>
      <w:rFonts w:ascii="Arial" w:eastAsia="Microsoft YaHei" w:hAnsi="Arial" w:cs="Mangal"/>
      <w:color w:val="00000A"/>
      <w:sz w:val="28"/>
      <w:szCs w:val="28"/>
      <w:lang w:val="en-US" w:eastAsia="en-US"/>
    </w:rPr>
  </w:style>
  <w:style w:type="paragraph" w:styleId="ListParagraph">
    <w:name w:val="List Paragraph"/>
    <w:aliases w:val="_Bullet,Heading 2_sj,List Paragraph1,Listenabsatz1,Normal bullet 2,Bullet list,Dot pt,Parágrafo da Lista,Liststycke,No Spacing1,List Paragraph Char Char Char,Indicator Text,Numbered Para 1,Bullet 1,Bullet Points,MAIN CONTENT,Listeavsnitt"/>
    <w:basedOn w:val="Normal"/>
    <w:link w:val="ListParagraphChar"/>
    <w:uiPriority w:val="34"/>
    <w:qFormat/>
    <w:rsid w:val="004208BE"/>
    <w:pPr>
      <w:tabs>
        <w:tab w:val="clear" w:pos="567"/>
        <w:tab w:val="clear" w:pos="1134"/>
        <w:tab w:val="clear" w:pos="1701"/>
        <w:tab w:val="clear" w:pos="2268"/>
      </w:tabs>
      <w:spacing w:after="0"/>
      <w:ind w:left="720"/>
      <w:jc w:val="left"/>
    </w:pPr>
    <w:rPr>
      <w:rFonts w:eastAsia="Calibri" w:cs="Calibri"/>
      <w:szCs w:val="22"/>
      <w:lang w:eastAsia="en-US"/>
    </w:rPr>
  </w:style>
  <w:style w:type="paragraph" w:styleId="Revision">
    <w:name w:val="Revision"/>
    <w:hidden/>
    <w:uiPriority w:val="99"/>
    <w:semiHidden/>
    <w:rsid w:val="009A7E9A"/>
    <w:rPr>
      <w:rFonts w:ascii="Calibri" w:hAnsi="Calibri"/>
      <w:sz w:val="22"/>
      <w:lang w:val="en-GB" w:eastAsia="en-GB"/>
    </w:rPr>
  </w:style>
  <w:style w:type="character" w:customStyle="1" w:styleId="ListParagraphChar">
    <w:name w:val="List Paragraph Char"/>
    <w:aliases w:val="_Bullet Char,Heading 2_sj Char,List Paragraph1 Char,Listenabsatz1 Char,Normal bullet 2 Char,Bullet list Char,Dot pt Char,Parágrafo da Lista Char,Liststycke Char,No Spacing1 Char,List Paragraph Char Char Char Char,Indicator Text Char"/>
    <w:basedOn w:val="DefaultParagraphFont"/>
    <w:link w:val="ListParagraph"/>
    <w:uiPriority w:val="34"/>
    <w:qFormat/>
    <w:locked/>
    <w:rsid w:val="003E6483"/>
    <w:rPr>
      <w:rFonts w:ascii="Calibri" w:eastAsia="Calibri" w:hAnsi="Calibri" w:cs="Calibri"/>
      <w:sz w:val="22"/>
      <w:szCs w:val="22"/>
      <w:lang w:val="en-GB" w:eastAsia="en-US"/>
    </w:rPr>
  </w:style>
  <w:style w:type="character" w:customStyle="1" w:styleId="CorpsdetexteCar">
    <w:name w:val="Corps de texte Car"/>
    <w:link w:val="Corpsdetexte1"/>
    <w:qFormat/>
    <w:rsid w:val="00047027"/>
    <w:rPr>
      <w:rFonts w:ascii="Arial" w:hAnsi="Arial"/>
      <w:lang w:eastAsia="en-US"/>
    </w:rPr>
  </w:style>
  <w:style w:type="paragraph" w:customStyle="1" w:styleId="Corpsdetexte1">
    <w:name w:val="Corps de texte1"/>
    <w:basedOn w:val="Normal"/>
    <w:link w:val="CorpsdetexteCar"/>
    <w:rsid w:val="00047027"/>
    <w:pPr>
      <w:tabs>
        <w:tab w:val="clear" w:pos="1134"/>
        <w:tab w:val="clear" w:pos="1701"/>
        <w:tab w:val="clear" w:pos="2268"/>
      </w:tabs>
      <w:spacing w:after="140" w:line="280" w:lineRule="atLeast"/>
    </w:pPr>
    <w:rPr>
      <w:rFonts w:ascii="Arial" w:hAnsi="Arial"/>
      <w:sz w:val="20"/>
      <w:lang w:val="nb-NO" w:eastAsia="en-US"/>
    </w:rPr>
  </w:style>
  <w:style w:type="table" w:customStyle="1" w:styleId="TableGrid12">
    <w:name w:val="Table Grid12"/>
    <w:basedOn w:val="TableNormal"/>
    <w:uiPriority w:val="59"/>
    <w:rsid w:val="000072FC"/>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B4006"/>
    <w:rPr>
      <w:rFonts w:ascii="Calibri" w:hAnsi="Calibri"/>
      <w:sz w:val="22"/>
      <w:lang w:val="en-GB" w:eastAsia="en-GB"/>
    </w:rPr>
  </w:style>
  <w:style w:type="character" w:customStyle="1" w:styleId="CommentTextChar">
    <w:name w:val="Comment Text Char"/>
    <w:basedOn w:val="DefaultParagraphFont"/>
    <w:link w:val="CommentText"/>
    <w:rsid w:val="00AB4006"/>
    <w:rPr>
      <w:rFonts w:ascii="Calibri" w:hAnsi="Calibri"/>
      <w:lang w:val="en-GB" w:eastAsia="en-GB"/>
    </w:rPr>
  </w:style>
  <w:style w:type="character" w:customStyle="1" w:styleId="st1">
    <w:name w:val="st1"/>
    <w:qFormat/>
    <w:rsid w:val="003108CF"/>
  </w:style>
  <w:style w:type="character" w:customStyle="1" w:styleId="FootnoteTextChar">
    <w:name w:val="Footnote Text Char"/>
    <w:aliases w:val="Ftnote Txt 11ptG Char,Geneva 9 Char,Font: Geneva 9 Char,Boston 10 Char,f Char,ft Char1,Fotnotstext Char Char,ft Char Char,single space Char,footnote text Char,FOOTNOTES Char,ADB Char,single space1 Char,footnote text1 Char,fn1 Char"/>
    <w:basedOn w:val="DefaultParagraphFont"/>
    <w:link w:val="FootnoteText"/>
    <w:uiPriority w:val="99"/>
    <w:rsid w:val="00667014"/>
    <w:rPr>
      <w:rFonts w:ascii="Calibri" w:hAnsi="Calibri"/>
      <w:lang w:val="en-GB" w:eastAsia="en-GB"/>
    </w:rPr>
  </w:style>
  <w:style w:type="character" w:styleId="UnresolvedMention">
    <w:name w:val="Unresolved Mention"/>
    <w:basedOn w:val="DefaultParagraphFont"/>
    <w:uiPriority w:val="99"/>
    <w:semiHidden/>
    <w:unhideWhenUsed/>
    <w:rsid w:val="00667014"/>
    <w:rPr>
      <w:color w:val="605E5C"/>
      <w:shd w:val="clear" w:color="auto" w:fill="E1DFDD"/>
    </w:rPr>
  </w:style>
  <w:style w:type="paragraph" w:customStyle="1" w:styleId="paragraph">
    <w:name w:val="paragraph"/>
    <w:basedOn w:val="Normal"/>
    <w:rsid w:val="00213A59"/>
    <w:pPr>
      <w:tabs>
        <w:tab w:val="clear" w:pos="567"/>
        <w:tab w:val="clear" w:pos="1134"/>
        <w:tab w:val="clear" w:pos="1701"/>
        <w:tab w:val="clear" w:pos="2268"/>
      </w:tabs>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213A59"/>
  </w:style>
  <w:style w:type="character" w:customStyle="1" w:styleId="eop">
    <w:name w:val="eop"/>
    <w:basedOn w:val="DefaultParagraphFont"/>
    <w:rsid w:val="00213A59"/>
  </w:style>
  <w:style w:type="paragraph" w:styleId="Bibliography">
    <w:name w:val="Bibliography"/>
    <w:basedOn w:val="Normal"/>
    <w:next w:val="Normal"/>
    <w:uiPriority w:val="37"/>
    <w:semiHidden/>
    <w:unhideWhenUsed/>
    <w:rsid w:val="0058760F"/>
  </w:style>
  <w:style w:type="paragraph" w:customStyle="1" w:styleId="Titre">
    <w:name w:val="Titre"/>
    <w:next w:val="BodyText"/>
    <w:rsid w:val="00190F33"/>
    <w:pPr>
      <w:suppressAutoHyphens/>
      <w:spacing w:line="280" w:lineRule="atLeast"/>
    </w:pPr>
    <w:rPr>
      <w:rFonts w:ascii="Arial" w:hAnsi="Arial" w:cs="Arial"/>
      <w:kern w:val="2"/>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1220">
      <w:bodyDiv w:val="1"/>
      <w:marLeft w:val="0"/>
      <w:marRight w:val="0"/>
      <w:marTop w:val="0"/>
      <w:marBottom w:val="0"/>
      <w:divBdr>
        <w:top w:val="none" w:sz="0" w:space="0" w:color="auto"/>
        <w:left w:val="none" w:sz="0" w:space="0" w:color="auto"/>
        <w:bottom w:val="none" w:sz="0" w:space="0" w:color="auto"/>
        <w:right w:val="none" w:sz="0" w:space="0" w:color="auto"/>
      </w:divBdr>
    </w:div>
    <w:div w:id="421686581">
      <w:bodyDiv w:val="1"/>
      <w:marLeft w:val="0"/>
      <w:marRight w:val="0"/>
      <w:marTop w:val="0"/>
      <w:marBottom w:val="0"/>
      <w:divBdr>
        <w:top w:val="none" w:sz="0" w:space="0" w:color="auto"/>
        <w:left w:val="none" w:sz="0" w:space="0" w:color="auto"/>
        <w:bottom w:val="none" w:sz="0" w:space="0" w:color="auto"/>
        <w:right w:val="none" w:sz="0" w:space="0" w:color="auto"/>
      </w:divBdr>
    </w:div>
    <w:div w:id="506750535">
      <w:bodyDiv w:val="1"/>
      <w:marLeft w:val="0"/>
      <w:marRight w:val="0"/>
      <w:marTop w:val="0"/>
      <w:marBottom w:val="0"/>
      <w:divBdr>
        <w:top w:val="none" w:sz="0" w:space="0" w:color="auto"/>
        <w:left w:val="none" w:sz="0" w:space="0" w:color="auto"/>
        <w:bottom w:val="none" w:sz="0" w:space="0" w:color="auto"/>
        <w:right w:val="none" w:sz="0" w:space="0" w:color="auto"/>
      </w:divBdr>
    </w:div>
    <w:div w:id="548608348">
      <w:bodyDiv w:val="1"/>
      <w:marLeft w:val="0"/>
      <w:marRight w:val="0"/>
      <w:marTop w:val="0"/>
      <w:marBottom w:val="0"/>
      <w:divBdr>
        <w:top w:val="none" w:sz="0" w:space="0" w:color="auto"/>
        <w:left w:val="none" w:sz="0" w:space="0" w:color="auto"/>
        <w:bottom w:val="none" w:sz="0" w:space="0" w:color="auto"/>
        <w:right w:val="none" w:sz="0" w:space="0" w:color="auto"/>
      </w:divBdr>
    </w:div>
    <w:div w:id="563028428">
      <w:bodyDiv w:val="1"/>
      <w:marLeft w:val="0"/>
      <w:marRight w:val="0"/>
      <w:marTop w:val="0"/>
      <w:marBottom w:val="0"/>
      <w:divBdr>
        <w:top w:val="none" w:sz="0" w:space="0" w:color="auto"/>
        <w:left w:val="none" w:sz="0" w:space="0" w:color="auto"/>
        <w:bottom w:val="none" w:sz="0" w:space="0" w:color="auto"/>
        <w:right w:val="none" w:sz="0" w:space="0" w:color="auto"/>
      </w:divBdr>
    </w:div>
    <w:div w:id="774524688">
      <w:bodyDiv w:val="1"/>
      <w:marLeft w:val="0"/>
      <w:marRight w:val="0"/>
      <w:marTop w:val="0"/>
      <w:marBottom w:val="0"/>
      <w:divBdr>
        <w:top w:val="none" w:sz="0" w:space="0" w:color="auto"/>
        <w:left w:val="none" w:sz="0" w:space="0" w:color="auto"/>
        <w:bottom w:val="none" w:sz="0" w:space="0" w:color="auto"/>
        <w:right w:val="none" w:sz="0" w:space="0" w:color="auto"/>
      </w:divBdr>
    </w:div>
    <w:div w:id="972059785">
      <w:bodyDiv w:val="1"/>
      <w:marLeft w:val="0"/>
      <w:marRight w:val="0"/>
      <w:marTop w:val="0"/>
      <w:marBottom w:val="0"/>
      <w:divBdr>
        <w:top w:val="none" w:sz="0" w:space="0" w:color="auto"/>
        <w:left w:val="none" w:sz="0" w:space="0" w:color="auto"/>
        <w:bottom w:val="none" w:sz="0" w:space="0" w:color="auto"/>
        <w:right w:val="none" w:sz="0" w:space="0" w:color="auto"/>
      </w:divBdr>
    </w:div>
    <w:div w:id="1088574444">
      <w:bodyDiv w:val="1"/>
      <w:marLeft w:val="0"/>
      <w:marRight w:val="0"/>
      <w:marTop w:val="0"/>
      <w:marBottom w:val="0"/>
      <w:divBdr>
        <w:top w:val="none" w:sz="0" w:space="0" w:color="auto"/>
        <w:left w:val="none" w:sz="0" w:space="0" w:color="auto"/>
        <w:bottom w:val="none" w:sz="0" w:space="0" w:color="auto"/>
        <w:right w:val="none" w:sz="0" w:space="0" w:color="auto"/>
      </w:divBdr>
      <w:divsChild>
        <w:div w:id="109321666">
          <w:marLeft w:val="1166"/>
          <w:marRight w:val="0"/>
          <w:marTop w:val="0"/>
          <w:marBottom w:val="0"/>
          <w:divBdr>
            <w:top w:val="none" w:sz="0" w:space="0" w:color="auto"/>
            <w:left w:val="none" w:sz="0" w:space="0" w:color="auto"/>
            <w:bottom w:val="none" w:sz="0" w:space="0" w:color="auto"/>
            <w:right w:val="none" w:sz="0" w:space="0" w:color="auto"/>
          </w:divBdr>
        </w:div>
        <w:div w:id="148911208">
          <w:marLeft w:val="1166"/>
          <w:marRight w:val="0"/>
          <w:marTop w:val="0"/>
          <w:marBottom w:val="0"/>
          <w:divBdr>
            <w:top w:val="none" w:sz="0" w:space="0" w:color="auto"/>
            <w:left w:val="none" w:sz="0" w:space="0" w:color="auto"/>
            <w:bottom w:val="none" w:sz="0" w:space="0" w:color="auto"/>
            <w:right w:val="none" w:sz="0" w:space="0" w:color="auto"/>
          </w:divBdr>
        </w:div>
        <w:div w:id="1229607705">
          <w:marLeft w:val="1166"/>
          <w:marRight w:val="0"/>
          <w:marTop w:val="0"/>
          <w:marBottom w:val="0"/>
          <w:divBdr>
            <w:top w:val="none" w:sz="0" w:space="0" w:color="auto"/>
            <w:left w:val="none" w:sz="0" w:space="0" w:color="auto"/>
            <w:bottom w:val="none" w:sz="0" w:space="0" w:color="auto"/>
            <w:right w:val="none" w:sz="0" w:space="0" w:color="auto"/>
          </w:divBdr>
        </w:div>
        <w:div w:id="2025210042">
          <w:marLeft w:val="1166"/>
          <w:marRight w:val="0"/>
          <w:marTop w:val="0"/>
          <w:marBottom w:val="0"/>
          <w:divBdr>
            <w:top w:val="none" w:sz="0" w:space="0" w:color="auto"/>
            <w:left w:val="none" w:sz="0" w:space="0" w:color="auto"/>
            <w:bottom w:val="none" w:sz="0" w:space="0" w:color="auto"/>
            <w:right w:val="none" w:sz="0" w:space="0" w:color="auto"/>
          </w:divBdr>
        </w:div>
      </w:divsChild>
    </w:div>
    <w:div w:id="1144615391">
      <w:bodyDiv w:val="1"/>
      <w:marLeft w:val="0"/>
      <w:marRight w:val="0"/>
      <w:marTop w:val="0"/>
      <w:marBottom w:val="0"/>
      <w:divBdr>
        <w:top w:val="none" w:sz="0" w:space="0" w:color="auto"/>
        <w:left w:val="none" w:sz="0" w:space="0" w:color="auto"/>
        <w:bottom w:val="none" w:sz="0" w:space="0" w:color="auto"/>
        <w:right w:val="none" w:sz="0" w:space="0" w:color="auto"/>
      </w:divBdr>
    </w:div>
    <w:div w:id="1157263000">
      <w:bodyDiv w:val="1"/>
      <w:marLeft w:val="0"/>
      <w:marRight w:val="0"/>
      <w:marTop w:val="0"/>
      <w:marBottom w:val="0"/>
      <w:divBdr>
        <w:top w:val="none" w:sz="0" w:space="0" w:color="auto"/>
        <w:left w:val="none" w:sz="0" w:space="0" w:color="auto"/>
        <w:bottom w:val="none" w:sz="0" w:space="0" w:color="auto"/>
        <w:right w:val="none" w:sz="0" w:space="0" w:color="auto"/>
      </w:divBdr>
    </w:div>
    <w:div w:id="1405563945">
      <w:bodyDiv w:val="1"/>
      <w:marLeft w:val="0"/>
      <w:marRight w:val="0"/>
      <w:marTop w:val="0"/>
      <w:marBottom w:val="0"/>
      <w:divBdr>
        <w:top w:val="none" w:sz="0" w:space="0" w:color="auto"/>
        <w:left w:val="none" w:sz="0" w:space="0" w:color="auto"/>
        <w:bottom w:val="none" w:sz="0" w:space="0" w:color="auto"/>
        <w:right w:val="none" w:sz="0" w:space="0" w:color="auto"/>
      </w:divBdr>
    </w:div>
    <w:div w:id="1583640731">
      <w:bodyDiv w:val="1"/>
      <w:marLeft w:val="0"/>
      <w:marRight w:val="0"/>
      <w:marTop w:val="0"/>
      <w:marBottom w:val="0"/>
      <w:divBdr>
        <w:top w:val="none" w:sz="0" w:space="0" w:color="auto"/>
        <w:left w:val="none" w:sz="0" w:space="0" w:color="auto"/>
        <w:bottom w:val="none" w:sz="0" w:space="0" w:color="auto"/>
        <w:right w:val="none" w:sz="0" w:space="0" w:color="auto"/>
      </w:divBdr>
    </w:div>
    <w:div w:id="1844010994">
      <w:bodyDiv w:val="1"/>
      <w:marLeft w:val="0"/>
      <w:marRight w:val="0"/>
      <w:marTop w:val="0"/>
      <w:marBottom w:val="0"/>
      <w:divBdr>
        <w:top w:val="none" w:sz="0" w:space="0" w:color="auto"/>
        <w:left w:val="none" w:sz="0" w:space="0" w:color="auto"/>
        <w:bottom w:val="none" w:sz="0" w:space="0" w:color="auto"/>
        <w:right w:val="none" w:sz="0" w:space="0" w:color="auto"/>
      </w:divBdr>
    </w:div>
    <w:div w:id="1864974955">
      <w:bodyDiv w:val="1"/>
      <w:marLeft w:val="0"/>
      <w:marRight w:val="0"/>
      <w:marTop w:val="0"/>
      <w:marBottom w:val="0"/>
      <w:divBdr>
        <w:top w:val="none" w:sz="0" w:space="0" w:color="auto"/>
        <w:left w:val="none" w:sz="0" w:space="0" w:color="auto"/>
        <w:bottom w:val="none" w:sz="0" w:space="0" w:color="auto"/>
        <w:right w:val="none" w:sz="0" w:space="0" w:color="auto"/>
      </w:divBdr>
      <w:divsChild>
        <w:div w:id="104279667">
          <w:marLeft w:val="0"/>
          <w:marRight w:val="0"/>
          <w:marTop w:val="0"/>
          <w:marBottom w:val="0"/>
          <w:divBdr>
            <w:top w:val="none" w:sz="0" w:space="0" w:color="auto"/>
            <w:left w:val="none" w:sz="0" w:space="0" w:color="auto"/>
            <w:bottom w:val="none" w:sz="0" w:space="0" w:color="auto"/>
            <w:right w:val="none" w:sz="0" w:space="0" w:color="auto"/>
          </w:divBdr>
        </w:div>
        <w:div w:id="417756911">
          <w:marLeft w:val="0"/>
          <w:marRight w:val="0"/>
          <w:marTop w:val="0"/>
          <w:marBottom w:val="0"/>
          <w:divBdr>
            <w:top w:val="none" w:sz="0" w:space="0" w:color="auto"/>
            <w:left w:val="none" w:sz="0" w:space="0" w:color="auto"/>
            <w:bottom w:val="none" w:sz="0" w:space="0" w:color="auto"/>
            <w:right w:val="none" w:sz="0" w:space="0" w:color="auto"/>
          </w:divBdr>
        </w:div>
        <w:div w:id="538863278">
          <w:marLeft w:val="0"/>
          <w:marRight w:val="0"/>
          <w:marTop w:val="0"/>
          <w:marBottom w:val="0"/>
          <w:divBdr>
            <w:top w:val="none" w:sz="0" w:space="0" w:color="auto"/>
            <w:left w:val="none" w:sz="0" w:space="0" w:color="auto"/>
            <w:bottom w:val="none" w:sz="0" w:space="0" w:color="auto"/>
            <w:right w:val="none" w:sz="0" w:space="0" w:color="auto"/>
          </w:divBdr>
        </w:div>
        <w:div w:id="546527271">
          <w:marLeft w:val="0"/>
          <w:marRight w:val="0"/>
          <w:marTop w:val="0"/>
          <w:marBottom w:val="0"/>
          <w:divBdr>
            <w:top w:val="none" w:sz="0" w:space="0" w:color="auto"/>
            <w:left w:val="none" w:sz="0" w:space="0" w:color="auto"/>
            <w:bottom w:val="none" w:sz="0" w:space="0" w:color="auto"/>
            <w:right w:val="none" w:sz="0" w:space="0" w:color="auto"/>
          </w:divBdr>
        </w:div>
        <w:div w:id="661079635">
          <w:marLeft w:val="0"/>
          <w:marRight w:val="0"/>
          <w:marTop w:val="0"/>
          <w:marBottom w:val="0"/>
          <w:divBdr>
            <w:top w:val="none" w:sz="0" w:space="0" w:color="auto"/>
            <w:left w:val="none" w:sz="0" w:space="0" w:color="auto"/>
            <w:bottom w:val="none" w:sz="0" w:space="0" w:color="auto"/>
            <w:right w:val="none" w:sz="0" w:space="0" w:color="auto"/>
          </w:divBdr>
        </w:div>
        <w:div w:id="1034964489">
          <w:marLeft w:val="0"/>
          <w:marRight w:val="0"/>
          <w:marTop w:val="0"/>
          <w:marBottom w:val="0"/>
          <w:divBdr>
            <w:top w:val="none" w:sz="0" w:space="0" w:color="auto"/>
            <w:left w:val="none" w:sz="0" w:space="0" w:color="auto"/>
            <w:bottom w:val="none" w:sz="0" w:space="0" w:color="auto"/>
            <w:right w:val="none" w:sz="0" w:space="0" w:color="auto"/>
          </w:divBdr>
        </w:div>
        <w:div w:id="1098677729">
          <w:marLeft w:val="0"/>
          <w:marRight w:val="0"/>
          <w:marTop w:val="0"/>
          <w:marBottom w:val="0"/>
          <w:divBdr>
            <w:top w:val="none" w:sz="0" w:space="0" w:color="auto"/>
            <w:left w:val="none" w:sz="0" w:space="0" w:color="auto"/>
            <w:bottom w:val="none" w:sz="0" w:space="0" w:color="auto"/>
            <w:right w:val="none" w:sz="0" w:space="0" w:color="auto"/>
          </w:divBdr>
        </w:div>
        <w:div w:id="1135639827">
          <w:marLeft w:val="0"/>
          <w:marRight w:val="0"/>
          <w:marTop w:val="0"/>
          <w:marBottom w:val="0"/>
          <w:divBdr>
            <w:top w:val="none" w:sz="0" w:space="0" w:color="auto"/>
            <w:left w:val="none" w:sz="0" w:space="0" w:color="auto"/>
            <w:bottom w:val="none" w:sz="0" w:space="0" w:color="auto"/>
            <w:right w:val="none" w:sz="0" w:space="0" w:color="auto"/>
          </w:divBdr>
        </w:div>
        <w:div w:id="1222443266">
          <w:marLeft w:val="0"/>
          <w:marRight w:val="0"/>
          <w:marTop w:val="0"/>
          <w:marBottom w:val="0"/>
          <w:divBdr>
            <w:top w:val="none" w:sz="0" w:space="0" w:color="auto"/>
            <w:left w:val="none" w:sz="0" w:space="0" w:color="auto"/>
            <w:bottom w:val="none" w:sz="0" w:space="0" w:color="auto"/>
            <w:right w:val="none" w:sz="0" w:space="0" w:color="auto"/>
          </w:divBdr>
        </w:div>
        <w:div w:id="1355377002">
          <w:marLeft w:val="0"/>
          <w:marRight w:val="0"/>
          <w:marTop w:val="0"/>
          <w:marBottom w:val="0"/>
          <w:divBdr>
            <w:top w:val="none" w:sz="0" w:space="0" w:color="auto"/>
            <w:left w:val="none" w:sz="0" w:space="0" w:color="auto"/>
            <w:bottom w:val="none" w:sz="0" w:space="0" w:color="auto"/>
            <w:right w:val="none" w:sz="0" w:space="0" w:color="auto"/>
          </w:divBdr>
        </w:div>
        <w:div w:id="1385716799">
          <w:marLeft w:val="0"/>
          <w:marRight w:val="0"/>
          <w:marTop w:val="0"/>
          <w:marBottom w:val="0"/>
          <w:divBdr>
            <w:top w:val="none" w:sz="0" w:space="0" w:color="auto"/>
            <w:left w:val="none" w:sz="0" w:space="0" w:color="auto"/>
            <w:bottom w:val="none" w:sz="0" w:space="0" w:color="auto"/>
            <w:right w:val="none" w:sz="0" w:space="0" w:color="auto"/>
          </w:divBdr>
        </w:div>
        <w:div w:id="1401751374">
          <w:marLeft w:val="0"/>
          <w:marRight w:val="0"/>
          <w:marTop w:val="0"/>
          <w:marBottom w:val="0"/>
          <w:divBdr>
            <w:top w:val="none" w:sz="0" w:space="0" w:color="auto"/>
            <w:left w:val="none" w:sz="0" w:space="0" w:color="auto"/>
            <w:bottom w:val="none" w:sz="0" w:space="0" w:color="auto"/>
            <w:right w:val="none" w:sz="0" w:space="0" w:color="auto"/>
          </w:divBdr>
        </w:div>
        <w:div w:id="1714889064">
          <w:marLeft w:val="0"/>
          <w:marRight w:val="0"/>
          <w:marTop w:val="0"/>
          <w:marBottom w:val="0"/>
          <w:divBdr>
            <w:top w:val="none" w:sz="0" w:space="0" w:color="auto"/>
            <w:left w:val="none" w:sz="0" w:space="0" w:color="auto"/>
            <w:bottom w:val="none" w:sz="0" w:space="0" w:color="auto"/>
            <w:right w:val="none" w:sz="0" w:space="0" w:color="auto"/>
          </w:divBdr>
        </w:div>
        <w:div w:id="2002924086">
          <w:marLeft w:val="0"/>
          <w:marRight w:val="0"/>
          <w:marTop w:val="0"/>
          <w:marBottom w:val="0"/>
          <w:divBdr>
            <w:top w:val="none" w:sz="0" w:space="0" w:color="auto"/>
            <w:left w:val="none" w:sz="0" w:space="0" w:color="auto"/>
            <w:bottom w:val="none" w:sz="0" w:space="0" w:color="auto"/>
            <w:right w:val="none" w:sz="0" w:space="0" w:color="auto"/>
          </w:divBdr>
        </w:div>
        <w:div w:id="2131508791">
          <w:marLeft w:val="0"/>
          <w:marRight w:val="0"/>
          <w:marTop w:val="0"/>
          <w:marBottom w:val="0"/>
          <w:divBdr>
            <w:top w:val="none" w:sz="0" w:space="0" w:color="auto"/>
            <w:left w:val="none" w:sz="0" w:space="0" w:color="auto"/>
            <w:bottom w:val="none" w:sz="0" w:space="0" w:color="auto"/>
            <w:right w:val="none" w:sz="0" w:space="0" w:color="auto"/>
          </w:divBdr>
        </w:div>
      </w:divsChild>
    </w:div>
    <w:div w:id="1919172293">
      <w:bodyDiv w:val="1"/>
      <w:marLeft w:val="0"/>
      <w:marRight w:val="0"/>
      <w:marTop w:val="0"/>
      <w:marBottom w:val="0"/>
      <w:divBdr>
        <w:top w:val="none" w:sz="0" w:space="0" w:color="auto"/>
        <w:left w:val="none" w:sz="0" w:space="0" w:color="auto"/>
        <w:bottom w:val="none" w:sz="0" w:space="0" w:color="auto"/>
        <w:right w:val="none" w:sz="0" w:space="0" w:color="auto"/>
      </w:divBdr>
    </w:div>
    <w:div w:id="1940676732">
      <w:bodyDiv w:val="1"/>
      <w:marLeft w:val="0"/>
      <w:marRight w:val="0"/>
      <w:marTop w:val="0"/>
      <w:marBottom w:val="0"/>
      <w:divBdr>
        <w:top w:val="none" w:sz="0" w:space="0" w:color="auto"/>
        <w:left w:val="none" w:sz="0" w:space="0" w:color="auto"/>
        <w:bottom w:val="none" w:sz="0" w:space="0" w:color="auto"/>
        <w:right w:val="none" w:sz="0" w:space="0" w:color="auto"/>
      </w:divBdr>
    </w:div>
    <w:div w:id="19606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275DBE9-C71A-49EE-9AC7-B0926B88CCDD}"/>
      </w:docPartPr>
      <w:docPartBody>
        <w:p w:rsidR="000353E1" w:rsidRDefault="000353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PhagsPa">
    <w:panose1 w:val="020B0502040204020203"/>
    <w:charset w:val="00"/>
    <w:family w:val="swiss"/>
    <w:pitch w:val="variable"/>
    <w:sig w:usb0="00000003" w:usb1="00000000" w:usb2="08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353E1"/>
    <w:rsid w:val="0003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9A4D5F59A39140A75DCE010E7429A8" ma:contentTypeVersion="8" ma:contentTypeDescription="Create a new document." ma:contentTypeScope="" ma:versionID="9f19ed6928d8977570f74d8279e4796f">
  <xsd:schema xmlns:xsd="http://www.w3.org/2001/XMLSchema" xmlns:xs="http://www.w3.org/2001/XMLSchema" xmlns:p="http://schemas.microsoft.com/office/2006/metadata/properties" xmlns:ns2="09740089-1718-4048-adf1-f9d7549c2ff8" xmlns:ns3="81fc944f-0879-404a-9dcb-09a6eb2c57f3" targetNamespace="http://schemas.microsoft.com/office/2006/metadata/properties" ma:root="true" ma:fieldsID="ecaa3ca050a8eb86015b697253e84fd4" ns2:_="" ns3:_="">
    <xsd:import namespace="09740089-1718-4048-adf1-f9d7549c2ff8"/>
    <xsd:import namespace="81fc944f-0879-404a-9dcb-09a6eb2c5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40089-1718-4048-adf1-f9d7549c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fc944f-0879-404a-9dcb-09a6eb2c5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85872-E17E-4357-97E3-C583FABB89F5}">
  <ds:schemaRefs>
    <ds:schemaRef ds:uri="http://schemas.openxmlformats.org/officeDocument/2006/bibliography"/>
  </ds:schemaRefs>
</ds:datastoreItem>
</file>

<file path=customXml/itemProps2.xml><?xml version="1.0" encoding="utf-8"?>
<ds:datastoreItem xmlns:ds="http://schemas.openxmlformats.org/officeDocument/2006/customXml" ds:itemID="{FD5B76A5-1C5A-4A74-BBF5-22093F0F77A5}">
  <ds:schemaRefs>
    <ds:schemaRef ds:uri="http://schemas.microsoft.com/office/2006/metadata/properties"/>
    <ds:schemaRef ds:uri="http://schemas.microsoft.com/office/infopath/2007/PartnerControls"/>
    <ds:schemaRef ds:uri="662745e8-e224-48e8-a2e3-254862b8c2f5"/>
    <ds:schemaRef ds:uri="498e8aaf-567c-4dbc-aebd-048fead4063d"/>
  </ds:schemaRefs>
</ds:datastoreItem>
</file>

<file path=customXml/itemProps3.xml><?xml version="1.0" encoding="utf-8"?>
<ds:datastoreItem xmlns:ds="http://schemas.openxmlformats.org/officeDocument/2006/customXml" ds:itemID="{AAB1E59F-C8B3-4994-B1D7-484F3AB00776}">
  <ds:schemaRefs>
    <ds:schemaRef ds:uri="http://schemas.microsoft.com/sharepoint/v3/contenttype/forms"/>
  </ds:schemaRefs>
</ds:datastoreItem>
</file>

<file path=customXml/itemProps4.xml><?xml version="1.0" encoding="utf-8"?>
<ds:datastoreItem xmlns:ds="http://schemas.openxmlformats.org/officeDocument/2006/customXml" ds:itemID="{402FCA44-4D79-4A21-AA8B-D00501B86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40089-1718-4048-adf1-f9d7549c2ff8"/>
    <ds:schemaRef ds:uri="81fc944f-0879-404a-9dcb-09a6eb2c5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2084</Words>
  <Characters>12309</Characters>
  <Application>Microsoft Office Word</Application>
  <DocSecurity>0</DocSecurity>
  <Lines>102</Lines>
  <Paragraphs>28</Paragraphs>
  <ScaleCrop>false</ScaleCrop>
  <Company>ospar</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dc:title>
  <dc:subject/>
  <dc:creator>lise</dc:creator>
  <cp:keywords/>
  <cp:lastModifiedBy>Lucy Ritchie</cp:lastModifiedBy>
  <cp:revision>8</cp:revision>
  <cp:lastPrinted>2021-11-29T17:37:00Z</cp:lastPrinted>
  <dcterms:created xsi:type="dcterms:W3CDTF">2024-04-17T10:36:00Z</dcterms:created>
  <dcterms:modified xsi:type="dcterms:W3CDTF">2024-04-18T13:25:00Z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0x0101000B9A4D5F59A39140A75DCE010E7429A8</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ies>
</file>